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p>
    <w:p>
      <w:pPr>
        <w:widowControl/>
        <w:spacing w:line="360" w:lineRule="auto"/>
        <w:jc w:val="center"/>
        <w:rPr>
          <w:rFonts w:ascii="黑体" w:hAnsi="黑体" w:eastAsia="黑体"/>
          <w:b/>
          <w:sz w:val="28"/>
          <w:szCs w:val="28"/>
        </w:rPr>
      </w:pPr>
      <w:r>
        <w:rPr>
          <w:rFonts w:ascii="黑体" w:hAnsi="黑体" w:eastAsia="黑体"/>
          <w:b/>
          <w:sz w:val="28"/>
          <w:szCs w:val="28"/>
        </w:rPr>
        <w:t>.</w:t>
      </w:r>
      <w:bookmarkStart w:id="243" w:name="_GoBack"/>
      <w:bookmarkEnd w:id="243"/>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兴银理财【稳添利最短持有期日开固收类】理财产品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兴银理财【稳添利最短持有期日开固收类】理财产品（代理）销售协议书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兴银理财【稳添利最短持有期日开固收类】理财产品投资者权益须知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兴银理财【稳添利最短持有期日开固收类】理财产品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23112224"/>
      <w:bookmarkStart w:id="2" w:name="_Toc139991726"/>
      <w:bookmarkStart w:id="3" w:name="_Toc123701383"/>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112264"/>
      <w:bookmarkStart w:id="7" w:name="_Toc139992302"/>
      <w:bookmarkStart w:id="8" w:name="_Toc12370138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【202</w:t>
      </w:r>
      <w:r>
        <w:rPr>
          <w:rStyle w:val="27"/>
          <w:rFonts w:ascii="宋体" w:hAnsi="宋体"/>
          <w:sz w:val="28"/>
          <w:szCs w:val="28"/>
        </w:rPr>
        <w:t>3</w:t>
      </w:r>
      <w:r>
        <w:rPr>
          <w:rStyle w:val="27"/>
          <w:rFonts w:hint="eastAsia" w:ascii="宋体" w:hAnsi="宋体"/>
          <w:sz w:val="28"/>
          <w:szCs w:val="28"/>
        </w:rPr>
        <w:t>】年【</w:t>
      </w:r>
      <w:r>
        <w:rPr>
          <w:rStyle w:val="27"/>
          <w:rFonts w:ascii="宋体" w:hAnsi="宋体"/>
          <w:sz w:val="28"/>
          <w:szCs w:val="28"/>
        </w:rPr>
        <w:t>5</w:t>
      </w:r>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1"/>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66"/>
      <w:bookmarkStart w:id="13" w:name="_Toc123112227"/>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兴银理财稳添利【双周盈1号（14天最短持有期）】日开固收类理财产品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widowControl/>
              <w:spacing w:line="360" w:lineRule="auto"/>
              <w:jc w:val="left"/>
              <w:rPr>
                <w:rFonts w:ascii="宋体" w:hAnsi="宋体"/>
                <w:bCs/>
                <w:sz w:val="18"/>
                <w:szCs w:val="18"/>
              </w:rPr>
            </w:pPr>
            <w:r>
              <w:rPr>
                <w:rFonts w:hint="eastAsia" w:ascii="宋体" w:hAnsi="宋体"/>
                <w:bCs/>
                <w:sz w:val="18"/>
                <w:szCs w:val="18"/>
              </w:rPr>
              <w:t>兴银稳添利双周盈</w:t>
            </w:r>
            <w:r>
              <w:rPr>
                <w:rFonts w:ascii="宋体" w:hAnsi="宋体"/>
                <w:bCs/>
                <w:sz w:val="18"/>
                <w:szCs w:val="18"/>
              </w:rPr>
              <w:t>1</w:t>
            </w:r>
            <w:r>
              <w:rPr>
                <w:rFonts w:hint="eastAsia" w:ascii="宋体" w:hAnsi="宋体"/>
                <w:bCs/>
                <w:sz w:val="18"/>
                <w:szCs w:val="18"/>
              </w:rPr>
              <w:t>号A（适用【</w:t>
            </w:r>
            <w:r>
              <w:rPr>
                <w:rFonts w:ascii="宋体" w:hAnsi="宋体"/>
                <w:bCs/>
                <w:sz w:val="18"/>
                <w:szCs w:val="18"/>
              </w:rPr>
              <w:t>A</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兴银稳添利双周盈</w:t>
            </w:r>
            <w:r>
              <w:rPr>
                <w:rFonts w:ascii="宋体" w:hAnsi="宋体"/>
                <w:bCs/>
                <w:sz w:val="18"/>
                <w:szCs w:val="18"/>
              </w:rPr>
              <w:t>1</w:t>
            </w:r>
            <w:r>
              <w:rPr>
                <w:rFonts w:hint="eastAsia" w:ascii="宋体" w:hAnsi="宋体"/>
                <w:bCs/>
                <w:sz w:val="18"/>
                <w:szCs w:val="18"/>
              </w:rPr>
              <w:t>号</w:t>
            </w:r>
            <w:r>
              <w:rPr>
                <w:rFonts w:ascii="宋体" w:hAnsi="宋体"/>
                <w:bCs/>
                <w:sz w:val="18"/>
                <w:szCs w:val="18"/>
              </w:rPr>
              <w:t>B</w:t>
            </w:r>
            <w:r>
              <w:rPr>
                <w:rFonts w:hint="eastAsia" w:ascii="宋体" w:hAnsi="宋体"/>
                <w:bCs/>
                <w:sz w:val="18"/>
                <w:szCs w:val="18"/>
              </w:rPr>
              <w:t>（适用【</w:t>
            </w:r>
            <w:r>
              <w:rPr>
                <w:rFonts w:ascii="宋体" w:hAnsi="宋体"/>
                <w:bCs/>
                <w:sz w:val="18"/>
                <w:szCs w:val="18"/>
              </w:rPr>
              <w:t>B</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兴银稳添利双周盈</w:t>
            </w:r>
            <w:r>
              <w:rPr>
                <w:rFonts w:ascii="宋体" w:hAnsi="宋体"/>
                <w:bCs/>
                <w:sz w:val="18"/>
                <w:szCs w:val="18"/>
              </w:rPr>
              <w:t>1</w:t>
            </w:r>
            <w:r>
              <w:rPr>
                <w:rFonts w:hint="eastAsia" w:ascii="宋体" w:hAnsi="宋体"/>
                <w:bCs/>
                <w:sz w:val="18"/>
                <w:szCs w:val="18"/>
              </w:rPr>
              <w:t>号</w:t>
            </w:r>
            <w:r>
              <w:rPr>
                <w:rFonts w:ascii="宋体" w:hAnsi="宋体"/>
                <w:bCs/>
                <w:sz w:val="18"/>
                <w:szCs w:val="18"/>
              </w:rPr>
              <w:t>C</w:t>
            </w:r>
            <w:r>
              <w:rPr>
                <w:rFonts w:hint="eastAsia" w:ascii="宋体" w:hAnsi="宋体"/>
                <w:bCs/>
                <w:sz w:val="18"/>
                <w:szCs w:val="18"/>
              </w:rPr>
              <w:t>（适用【</w:t>
            </w:r>
            <w:r>
              <w:rPr>
                <w:rFonts w:ascii="宋体" w:hAnsi="宋体"/>
                <w:bCs/>
                <w:sz w:val="18"/>
                <w:szCs w:val="18"/>
              </w:rPr>
              <w:t>C</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兴银稳添利双周盈</w:t>
            </w:r>
            <w:r>
              <w:rPr>
                <w:rFonts w:ascii="宋体" w:hAnsi="宋体"/>
                <w:bCs/>
                <w:sz w:val="18"/>
                <w:szCs w:val="18"/>
              </w:rPr>
              <w:t>1</w:t>
            </w:r>
            <w:r>
              <w:rPr>
                <w:rFonts w:hint="eastAsia" w:ascii="宋体" w:hAnsi="宋体"/>
                <w:bCs/>
                <w:sz w:val="18"/>
                <w:szCs w:val="18"/>
              </w:rPr>
              <w:t>号（工行）（适用【</w:t>
            </w:r>
            <w:r>
              <w:rPr>
                <w:rFonts w:ascii="宋体" w:hAnsi="宋体"/>
                <w:bCs/>
                <w:sz w:val="18"/>
                <w:szCs w:val="18"/>
              </w:rPr>
              <w:t>D</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兴银稳添利双周盈</w:t>
            </w:r>
            <w:r>
              <w:rPr>
                <w:rFonts w:ascii="宋体" w:hAnsi="宋体"/>
                <w:bCs/>
                <w:sz w:val="18"/>
                <w:szCs w:val="18"/>
              </w:rPr>
              <w:t>1</w:t>
            </w:r>
            <w:r>
              <w:rPr>
                <w:rFonts w:hint="eastAsia" w:ascii="宋体" w:hAnsi="宋体"/>
                <w:bCs/>
                <w:sz w:val="18"/>
                <w:szCs w:val="18"/>
              </w:rPr>
              <w:t>号</w:t>
            </w:r>
            <w:r>
              <w:rPr>
                <w:rFonts w:ascii="宋体" w:hAnsi="宋体"/>
                <w:bCs/>
                <w:sz w:val="18"/>
                <w:szCs w:val="18"/>
              </w:rPr>
              <w:t>E</w:t>
            </w:r>
            <w:r>
              <w:rPr>
                <w:rFonts w:hint="eastAsia" w:ascii="宋体" w:hAnsi="宋体"/>
                <w:bCs/>
                <w:sz w:val="18"/>
                <w:szCs w:val="18"/>
              </w:rPr>
              <w:t>（适用【</w:t>
            </w:r>
            <w:r>
              <w:rPr>
                <w:rFonts w:ascii="宋体" w:hAnsi="宋体"/>
                <w:bCs/>
                <w:sz w:val="18"/>
                <w:szCs w:val="18"/>
              </w:rPr>
              <w:t>E</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vAlign w:val="center"/>
          </w:tcPr>
          <w:p>
            <w:pPr>
              <w:rPr>
                <w:rFonts w:ascii="宋体" w:hAnsi="宋体"/>
                <w:bCs/>
                <w:sz w:val="18"/>
                <w:szCs w:val="18"/>
              </w:rPr>
            </w:pPr>
            <w:r>
              <w:rPr>
                <w:rFonts w:hint="eastAsia" w:hAnsi="宋体"/>
                <w:sz w:val="18"/>
                <w:szCs w:val="18"/>
              </w:rPr>
              <w:t>【</w:t>
            </w:r>
            <w:r>
              <w:rPr>
                <w:rFonts w:ascii="宋体" w:hAnsi="宋体"/>
                <w:bCs/>
                <w:sz w:val="18"/>
                <w:szCs w:val="18"/>
              </w:rPr>
              <w:t>Z7002022000132</w:t>
            </w:r>
            <w:r>
              <w:rPr>
                <w:rFonts w:hint="eastAsia" w:ascii="宋体" w:hAnsi="宋体"/>
                <w:bCs/>
                <w:sz w:val="18"/>
                <w:szCs w:val="18"/>
              </w:rPr>
              <w:t>】注：</w:t>
            </w:r>
            <w:r>
              <w:rPr>
                <w:rFonts w:hint="eastAsia" w:hAnsi="宋体"/>
                <w:sz w:val="18"/>
                <w:szCs w:val="18"/>
              </w:rPr>
              <w:t>投资者可依</w:t>
            </w:r>
            <w:r>
              <w:rPr>
                <w:rFonts w:hint="eastAsia" w:ascii="宋体" w:hAnsi="宋体"/>
                <w:sz w:val="18"/>
                <w:szCs w:val="18"/>
              </w:rPr>
              <w:t>据理财产品登记编码在中国理财网(</w:t>
            </w:r>
            <w:r>
              <w:fldChar w:fldCharType="begin"/>
            </w:r>
            <w:r>
              <w:instrText xml:space="preserve"> HYPERLINK "http://www.chinawealth.com.cn" </w:instrText>
            </w:r>
            <w:r>
              <w:fldChar w:fldCharType="separate"/>
            </w:r>
            <w:r>
              <w:rPr>
                <w:rStyle w:val="29"/>
                <w:rFonts w:hint="eastAsia" w:ascii="宋体" w:hAnsi="宋体"/>
                <w:sz w:val="18"/>
                <w:szCs w:val="18"/>
              </w:rPr>
              <w:t>www.chinawealth.com.cn</w:t>
            </w:r>
            <w:r>
              <w:rPr>
                <w:rStyle w:val="29"/>
                <w:rFonts w:hint="eastAsia" w:ascii="宋体" w:hAnsi="宋体"/>
                <w:sz w:val="18"/>
                <w:szCs w:val="18"/>
              </w:rPr>
              <w:fldChar w:fldCharType="end"/>
            </w:r>
            <w:r>
              <w:rPr>
                <w:rFonts w:hint="eastAsia" w:ascii="宋体" w:hAnsi="宋体"/>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91051A】</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A</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91051B】</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B</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91051C】</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C</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91051D】</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D</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int="eastAsia" w:ascii="宋体" w:hAnsi="宋体"/>
                <w:bCs/>
                <w:color w:val="000000" w:themeColor="text1"/>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91051E】</w:t>
            </w:r>
            <w:r>
              <w:rPr>
                <w:rFonts w:hint="eastAsia" w:hAnsi="宋体"/>
                <w:sz w:val="18"/>
                <w:szCs w:val="18"/>
              </w:rPr>
              <w:t>（适用</w:t>
            </w:r>
            <w:r>
              <w:rPr>
                <w:rFonts w:hint="eastAsia" w:asciiTheme="minorEastAsia" w:hAnsiTheme="minorEastAsia"/>
                <w:sz w:val="18"/>
                <w:szCs w:val="18"/>
              </w:rPr>
              <w:t>【E】类</w:t>
            </w:r>
            <w:r>
              <w:rPr>
                <w:rFonts w:hint="eastAsia" w:hAnsi="宋体"/>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3386"/>
      <w:bookmarkStart w:id="15" w:name="_Toc123112229"/>
      <w:bookmarkStart w:id="16" w:name="_Toc30935"/>
      <w:bookmarkStart w:id="17" w:name="_Toc29629"/>
      <w:bookmarkStart w:id="18" w:name="_Toc123701389"/>
      <w:bookmarkStart w:id="19" w:name="_Toc139991730"/>
      <w:bookmarkStart w:id="20" w:name="_Toc4867"/>
      <w:bookmarkStart w:id="21" w:name="_Toc141703880"/>
      <w:bookmarkStart w:id="22" w:name="_Toc15517"/>
      <w:bookmarkStart w:id="23" w:name="_Toc4966"/>
      <w:bookmarkStart w:id="24" w:name="_Toc32639"/>
      <w:bookmarkStart w:id="25" w:name="_Toc6306"/>
      <w:bookmarkStart w:id="26" w:name="_Toc123112268"/>
      <w:bookmarkStart w:id="27" w:name="_Toc8727"/>
      <w:bookmarkStart w:id="28" w:name="_Toc26897"/>
      <w:bookmarkStart w:id="29" w:name="_Toc95897036"/>
      <w:bookmarkStart w:id="30" w:name="_Toc88482730"/>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13020"/>
      <w:bookmarkStart w:id="34" w:name="_Toc3224"/>
      <w:bookmarkStart w:id="35" w:name="_Toc819"/>
      <w:bookmarkStart w:id="36" w:name="_Toc2465"/>
      <w:bookmarkStart w:id="37" w:name="_Toc22864"/>
      <w:bookmarkStart w:id="38" w:name="_Toc15067"/>
      <w:bookmarkStart w:id="39" w:name="_Toc21301"/>
      <w:bookmarkStart w:id="40" w:name="_Toc24860"/>
      <w:bookmarkStart w:id="41" w:name="_Toc6617"/>
      <w:bookmarkStart w:id="42" w:name="_Toc19592"/>
      <w:bookmarkStart w:id="43" w:name="_Toc258829399"/>
      <w:r>
        <w:rPr>
          <w:rFonts w:hint="eastAsia" w:ascii="Times New Roman"/>
          <w:color w:val="auto"/>
          <w:sz w:val="30"/>
        </w:rPr>
        <w:t>前言</w:t>
      </w:r>
      <w:bookmarkEnd w:id="29"/>
      <w:bookmarkEnd w:id="30"/>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88482731"/>
      <w:bookmarkStart w:id="46" w:name="_Toc95897037"/>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outlineLvl w:val="1"/>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outlineLvl w:val="1"/>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88482732"/>
      <w:bookmarkStart w:id="49" w:name="_Toc95897038"/>
      <w:bookmarkStart w:id="50" w:name="_Toc545"/>
      <w:bookmarkStart w:id="51" w:name="_Toc18631"/>
      <w:bookmarkStart w:id="52" w:name="_Toc20318"/>
      <w:bookmarkStart w:id="53" w:name="_Toc20627"/>
      <w:bookmarkStart w:id="54" w:name="_Toc24571"/>
      <w:bookmarkStart w:id="55" w:name="_Toc6683"/>
      <w:bookmarkStart w:id="56" w:name="_Toc13288"/>
      <w:bookmarkStart w:id="57" w:name="_Toc733"/>
      <w:bookmarkStart w:id="58" w:name="_Toc74065740"/>
      <w:bookmarkStart w:id="59" w:name="_Toc6149"/>
      <w:bookmarkStart w:id="60" w:name="_Toc22708"/>
      <w:bookmarkStart w:id="61" w:name="_Toc233456272"/>
      <w:bookmarkStart w:id="62" w:name="_Toc258829400"/>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88482733"/>
      <w:bookmarkStart w:id="64" w:name="_Toc95897039"/>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95897040"/>
      <w:bookmarkStart w:id="66" w:name="_Toc88482734"/>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outlineLvl w:val="1"/>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7" w:name="_Toc88482735"/>
      <w:bookmarkStart w:id="68" w:name="_Toc95897041"/>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95897042"/>
      <w:bookmarkStart w:id="70" w:name="_Toc88482736"/>
      <w:bookmarkStart w:id="71"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92"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兴银理财【稳添利最短持有期日开固收类】理财产品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【202</w:t>
      </w:r>
      <w:r>
        <w:rPr>
          <w:rStyle w:val="27"/>
          <w:rFonts w:ascii="宋体" w:hAnsi="宋体" w:cs="Times New Roman"/>
          <w:sz w:val="32"/>
          <w:szCs w:val="32"/>
        </w:rPr>
        <w:t>3</w:t>
      </w:r>
      <w:r>
        <w:rPr>
          <w:rStyle w:val="27"/>
          <w:rFonts w:hint="eastAsia" w:ascii="宋体" w:hAnsi="宋体" w:cs="Times New Roman"/>
          <w:sz w:val="32"/>
          <w:szCs w:val="32"/>
        </w:rPr>
        <w:t>】年【</w:t>
      </w:r>
      <w:r>
        <w:rPr>
          <w:rStyle w:val="27"/>
          <w:rFonts w:ascii="宋体" w:hAnsi="宋体" w:cs="Times New Roman"/>
          <w:sz w:val="32"/>
          <w:szCs w:val="32"/>
        </w:rPr>
        <w:t>5</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43"/>
        <w:spacing w:line="360" w:lineRule="auto"/>
        <w:rPr>
          <w:rFonts w:hAnsi="宋体"/>
          <w:sz w:val="28"/>
          <w:szCs w:val="28"/>
        </w:rPr>
        <w:sectPr>
          <w:footerReference r:id="rId9" w:type="first"/>
          <w:headerReference r:id="rId7" w:type="default"/>
          <w:footerReference r:id="rId8"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69"/>
            <w:spacing w:line="360" w:lineRule="auto"/>
            <w:jc w:val="center"/>
          </w:pPr>
          <w:bookmarkStart w:id="73" w:name="_Toc78276587"/>
          <w:r>
            <w:rPr>
              <w:lang w:val="zh-CN"/>
            </w:rPr>
            <w:t>目录</w:t>
          </w:r>
        </w:p>
        <w:p>
          <w:pPr>
            <w:pStyle w:val="16"/>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"_Toc21407"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_Toc21407 \h </w:instrText>
          </w:r>
          <w:r>
            <w:fldChar w:fldCharType="separate"/>
          </w:r>
          <w:r>
            <w:t>1</w:t>
          </w:r>
          <w:r>
            <w:fldChar w:fldCharType="end"/>
          </w:r>
          <w:r>
            <w:fldChar w:fldCharType="end"/>
          </w:r>
        </w:p>
        <w:p>
          <w:pPr>
            <w:pStyle w:val="16"/>
            <w:tabs>
              <w:tab w:val="right" w:leader="dot" w:pos="8306"/>
              <w:tab w:val="clear" w:pos="8296"/>
            </w:tabs>
          </w:pPr>
          <w:r>
            <w:fldChar w:fldCharType="begin"/>
          </w:r>
          <w:r>
            <w:instrText xml:space="preserve"> HYPERLINK \l "_Toc164" </w:instrText>
          </w:r>
          <w:r>
            <w:fldChar w:fldCharType="separate"/>
          </w:r>
          <w:r>
            <w:rPr>
              <w:rFonts w:hint="eastAsia" w:hAnsi="宋体"/>
              <w:szCs w:val="28"/>
            </w:rPr>
            <w:t>第二条  理财产品基本情况</w:t>
          </w:r>
          <w:r>
            <w:tab/>
          </w:r>
          <w:r>
            <w:fldChar w:fldCharType="begin"/>
          </w:r>
          <w:r>
            <w:instrText xml:space="preserve"> PAGEREF _Toc164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"_Toc28202"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_Toc28202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"_Toc25541"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_Toc25541 \h </w:instrText>
          </w:r>
          <w:r>
            <w:fldChar w:fldCharType="separate"/>
          </w:r>
          <w:r>
            <w:t>15</w:t>
          </w:r>
          <w:r>
            <w:fldChar w:fldCharType="end"/>
          </w:r>
          <w:r>
            <w:fldChar w:fldCharType="end"/>
          </w:r>
        </w:p>
        <w:p>
          <w:pPr>
            <w:pStyle w:val="16"/>
            <w:tabs>
              <w:tab w:val="right" w:leader="dot" w:pos="8306"/>
              <w:tab w:val="clear" w:pos="8296"/>
            </w:tabs>
          </w:pPr>
          <w:r>
            <w:fldChar w:fldCharType="begin"/>
          </w:r>
          <w:r>
            <w:instrText xml:space="preserve"> HYPERLINK \l "_Toc13469"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_Toc13469 \h </w:instrText>
          </w:r>
          <w:r>
            <w:fldChar w:fldCharType="separate"/>
          </w:r>
          <w:r>
            <w:t>19</w:t>
          </w:r>
          <w:r>
            <w:fldChar w:fldCharType="end"/>
          </w:r>
          <w:r>
            <w:fldChar w:fldCharType="end"/>
          </w:r>
        </w:p>
        <w:p>
          <w:pPr>
            <w:pStyle w:val="16"/>
            <w:tabs>
              <w:tab w:val="right" w:leader="dot" w:pos="8306"/>
              <w:tab w:val="clear" w:pos="8296"/>
            </w:tabs>
          </w:pPr>
          <w:r>
            <w:fldChar w:fldCharType="begin"/>
          </w:r>
          <w:r>
            <w:instrText xml:space="preserve"> HYPERLINK \l "_Toc10381"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_Toc10381 \h </w:instrText>
          </w:r>
          <w:r>
            <w:fldChar w:fldCharType="separate"/>
          </w:r>
          <w:r>
            <w:t>23</w:t>
          </w:r>
          <w:r>
            <w:fldChar w:fldCharType="end"/>
          </w:r>
          <w:r>
            <w:fldChar w:fldCharType="end"/>
          </w:r>
        </w:p>
        <w:p>
          <w:pPr>
            <w:pStyle w:val="16"/>
            <w:tabs>
              <w:tab w:val="right" w:leader="dot" w:pos="8306"/>
              <w:tab w:val="clear" w:pos="8296"/>
            </w:tabs>
          </w:pPr>
          <w:r>
            <w:fldChar w:fldCharType="begin"/>
          </w:r>
          <w:r>
            <w:instrText xml:space="preserve"> HYPERLINK \l "_Toc26375"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_Toc26375 \h </w:instrText>
          </w:r>
          <w:r>
            <w:fldChar w:fldCharType="separate"/>
          </w:r>
          <w:r>
            <w:t>24</w:t>
          </w:r>
          <w:r>
            <w:fldChar w:fldCharType="end"/>
          </w:r>
          <w:r>
            <w:fldChar w:fldCharType="end"/>
          </w:r>
        </w:p>
        <w:p>
          <w:pPr>
            <w:pStyle w:val="16"/>
            <w:tabs>
              <w:tab w:val="right" w:leader="dot" w:pos="8306"/>
              <w:tab w:val="clear" w:pos="8296"/>
            </w:tabs>
          </w:pPr>
          <w:r>
            <w:fldChar w:fldCharType="begin"/>
          </w:r>
          <w:r>
            <w:instrText xml:space="preserve"> HYPERLINK \l "_Toc13230"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_Toc13230 \h </w:instrText>
          </w:r>
          <w:r>
            <w:fldChar w:fldCharType="separate"/>
          </w:r>
          <w:r>
            <w:t>28</w:t>
          </w:r>
          <w:r>
            <w:fldChar w:fldCharType="end"/>
          </w:r>
          <w:r>
            <w:fldChar w:fldCharType="end"/>
          </w:r>
        </w:p>
        <w:p>
          <w:pPr>
            <w:pStyle w:val="16"/>
            <w:tabs>
              <w:tab w:val="right" w:leader="dot" w:pos="8306"/>
              <w:tab w:val="clear" w:pos="8296"/>
            </w:tabs>
          </w:pPr>
          <w:r>
            <w:fldChar w:fldCharType="begin"/>
          </w:r>
          <w:r>
            <w:instrText xml:space="preserve"> HYPERLINK \l "_Toc28842"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_Toc28842 \h </w:instrText>
          </w:r>
          <w:r>
            <w:fldChar w:fldCharType="separate"/>
          </w:r>
          <w:r>
            <w:t>29</w:t>
          </w:r>
          <w:r>
            <w:fldChar w:fldCharType="end"/>
          </w:r>
          <w:r>
            <w:fldChar w:fldCharType="end"/>
          </w:r>
        </w:p>
        <w:p>
          <w:pPr>
            <w:pStyle w:val="16"/>
            <w:tabs>
              <w:tab w:val="right" w:leader="dot" w:pos="8306"/>
              <w:tab w:val="clear" w:pos="8296"/>
            </w:tabs>
          </w:pPr>
          <w:r>
            <w:fldChar w:fldCharType="begin"/>
          </w:r>
          <w:r>
            <w:instrText xml:space="preserve"> HYPERLINK \l "_Toc24403"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_Toc24403 \h </w:instrText>
          </w:r>
          <w:r>
            <w:fldChar w:fldCharType="separate"/>
          </w:r>
          <w:r>
            <w:t>32</w:t>
          </w:r>
          <w:r>
            <w:fldChar w:fldCharType="end"/>
          </w:r>
          <w:r>
            <w:fldChar w:fldCharType="end"/>
          </w:r>
        </w:p>
        <w:p>
          <w:pPr>
            <w:pStyle w:val="16"/>
            <w:tabs>
              <w:tab w:val="right" w:leader="dot" w:pos="8306"/>
              <w:tab w:val="clear" w:pos="8296"/>
            </w:tabs>
          </w:pPr>
          <w:r>
            <w:fldChar w:fldCharType="begin"/>
          </w:r>
          <w:r>
            <w:instrText xml:space="preserve"> HYPERLINK \l "_Toc14127"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_Toc14127 \h </w:instrText>
          </w:r>
          <w:r>
            <w:fldChar w:fldCharType="separate"/>
          </w:r>
          <w:r>
            <w:t>34</w:t>
          </w:r>
          <w:r>
            <w:fldChar w:fldCharType="end"/>
          </w:r>
          <w:r>
            <w:fldChar w:fldCharType="end"/>
          </w:r>
        </w:p>
        <w:p>
          <w:pPr>
            <w:pStyle w:val="16"/>
            <w:tabs>
              <w:tab w:val="right" w:leader="dot" w:pos="8306"/>
              <w:tab w:val="clear" w:pos="8296"/>
            </w:tabs>
          </w:pPr>
          <w:r>
            <w:fldChar w:fldCharType="begin"/>
          </w:r>
          <w:r>
            <w:instrText xml:space="preserve"> HYPERLINK \l "_Toc17924"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_Toc17924 \h </w:instrText>
          </w:r>
          <w:r>
            <w:fldChar w:fldCharType="separate"/>
          </w:r>
          <w:r>
            <w:t>37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footerReference r:id="rId10"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74" w:name="_Toc21407"/>
      <w:bookmarkStart w:id="75"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73"/>
      <w:bookmarkEnd w:id="74"/>
      <w:bookmarkEnd w:id="75"/>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43"/>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：指产品管理人向投资者提供的，用于描述产品特征，约定权利义务的文件。具体指《兴银理财【稳添利最短持有期日开固收类】理财产品销售文件》，包括《投资协议书》、《产品说明书》、《（代理）销售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《投资协议书》：指管理人统一编制的《兴银理财【稳添利最短持有期日开固收类】理财产品投资协议书》，以及对该文件的有效修改或补充。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）《产品说明书》：指管理人统一编制的《兴银理财【稳添利最短持有期日开固收类】理财产品产品说明书》，以及对该文件的有效修改或补充。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（4）《（代理）销售协议书》：指管理人统一编制的《兴银理财【稳添利最短持有期日开固收类】理财产品（代理）销售协议书》或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的《兴银理财【稳添利最短持有期日开固收类】理财产品（代理）销售协议书》（文件名称以代理销售机构实际编制为准），以及对该文件的有效修改或补充。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）《风险揭示书》：指管理人统一编制的《兴银理财【稳添利最短持有期日开固收类】理财产品风险揭示书》或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的《兴银理财【稳添利最短持有期日开固收类】理财产品风险揭示书》（文件名称以代理销售机构实际编制为准），以及对该文件的有效修改或补充。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）《投资者权益须知》：指管理人统一编制的《兴银理财【稳添利最短持有期日开固收类】理财产品投资者权益须知》或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《兴银理财【稳添利最短持有期日开固收类】理财产品投资者权益须知》（文件名称以代理销售机构实际编制为准），以及对该文件的有效修改或补充。</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指理财产品成立后，投资者申请购买理财产品份额的行为。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指投资者在一段特定期间内通过预约的方式提交申购申请，该申请在申购日内自动转化为正式的申购申请。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指投资者在一段特定期间内通过预约的方式提交赎回申请，该申请在赎回日内自动转化为正式的赎回申请。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）巨额赎回：每个赎回日，本产品的净赎回申请（赎回申请份额总数扣除申购申请总份额后的余额,下同）超过上一赎回日产品总份额的【</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】%，为巨额赎回。</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43"/>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43"/>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自产品成立日/申购确认日起第【14】个自然日内（不含当日）投资者不能赎回该产品份额，自产品成立日/申购确认日起第【14】个自然日起（含当日），投资者可以赎回该产品份额。</w:t>
      </w:r>
    </w:p>
    <w:p>
      <w:pPr>
        <w:pStyle w:val="43"/>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）产品存续期：指自理财产品成立日起，至理财产品终止日的期间。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43"/>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43"/>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43"/>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43"/>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43"/>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43"/>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76" w:name="_Toc92377131"/>
      <w:bookmarkStart w:id="77" w:name="_Toc79154665"/>
      <w:bookmarkStart w:id="78" w:name="_Toc164"/>
      <w:r>
        <w:rPr>
          <w:rFonts w:hint="eastAsia" w:hAnsi="宋体"/>
          <w:sz w:val="28"/>
          <w:szCs w:val="28"/>
        </w:rPr>
        <w:t>第二条  理财产品基本情况</w:t>
      </w:r>
      <w:bookmarkEnd w:id="76"/>
      <w:bookmarkEnd w:id="77"/>
      <w:bookmarkEnd w:id="78"/>
      <w:r>
        <w:rPr>
          <w:rFonts w:hint="eastAsia" w:hAnsi="宋体"/>
          <w:sz w:val="28"/>
          <w:szCs w:val="28"/>
        </w:rPr>
        <w:t xml:space="preserve"> </w:t>
      </w:r>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兴银理财稳添利【双周盈1号（14天最短持有期）】日开固收类理财产品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widowControl/>
              <w:spacing w:line="360" w:lineRule="auto"/>
              <w:jc w:val="left"/>
              <w:rPr>
                <w:rFonts w:ascii="宋体" w:hAnsi="宋体"/>
                <w:bCs/>
                <w:sz w:val="18"/>
                <w:szCs w:val="18"/>
              </w:rPr>
            </w:pPr>
            <w:r>
              <w:rPr>
                <w:rFonts w:hint="eastAsia" w:ascii="宋体" w:hAnsi="宋体"/>
                <w:bCs/>
                <w:sz w:val="18"/>
                <w:szCs w:val="18"/>
              </w:rPr>
              <w:t>兴银稳添利双周盈</w:t>
            </w:r>
            <w:r>
              <w:rPr>
                <w:rFonts w:ascii="宋体" w:hAnsi="宋体"/>
                <w:bCs/>
                <w:sz w:val="18"/>
                <w:szCs w:val="18"/>
              </w:rPr>
              <w:t>1</w:t>
            </w:r>
            <w:r>
              <w:rPr>
                <w:rFonts w:hint="eastAsia" w:ascii="宋体" w:hAnsi="宋体"/>
                <w:bCs/>
                <w:sz w:val="18"/>
                <w:szCs w:val="18"/>
              </w:rPr>
              <w:t>号A（适用【</w:t>
            </w:r>
            <w:r>
              <w:rPr>
                <w:rFonts w:ascii="宋体" w:hAnsi="宋体"/>
                <w:bCs/>
                <w:sz w:val="18"/>
                <w:szCs w:val="18"/>
              </w:rPr>
              <w:t>A</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兴银稳添利双周盈</w:t>
            </w:r>
            <w:r>
              <w:rPr>
                <w:rFonts w:ascii="宋体" w:hAnsi="宋体"/>
                <w:bCs/>
                <w:sz w:val="18"/>
                <w:szCs w:val="18"/>
              </w:rPr>
              <w:t>1</w:t>
            </w:r>
            <w:r>
              <w:rPr>
                <w:rFonts w:hint="eastAsia" w:ascii="宋体" w:hAnsi="宋体"/>
                <w:bCs/>
                <w:sz w:val="18"/>
                <w:szCs w:val="18"/>
              </w:rPr>
              <w:t>号</w:t>
            </w:r>
            <w:r>
              <w:rPr>
                <w:rFonts w:ascii="宋体" w:hAnsi="宋体"/>
                <w:bCs/>
                <w:sz w:val="18"/>
                <w:szCs w:val="18"/>
              </w:rPr>
              <w:t>B</w:t>
            </w:r>
            <w:r>
              <w:rPr>
                <w:rFonts w:hint="eastAsia" w:ascii="宋体" w:hAnsi="宋体"/>
                <w:bCs/>
                <w:sz w:val="18"/>
                <w:szCs w:val="18"/>
              </w:rPr>
              <w:t>（适用【</w:t>
            </w:r>
            <w:r>
              <w:rPr>
                <w:rFonts w:ascii="宋体" w:hAnsi="宋体"/>
                <w:bCs/>
                <w:sz w:val="18"/>
                <w:szCs w:val="18"/>
              </w:rPr>
              <w:t>B</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兴银稳添利双周盈</w:t>
            </w:r>
            <w:r>
              <w:rPr>
                <w:rFonts w:ascii="宋体" w:hAnsi="宋体"/>
                <w:bCs/>
                <w:sz w:val="18"/>
                <w:szCs w:val="18"/>
              </w:rPr>
              <w:t>1</w:t>
            </w:r>
            <w:r>
              <w:rPr>
                <w:rFonts w:hint="eastAsia" w:ascii="宋体" w:hAnsi="宋体"/>
                <w:bCs/>
                <w:sz w:val="18"/>
                <w:szCs w:val="18"/>
              </w:rPr>
              <w:t>号</w:t>
            </w:r>
            <w:r>
              <w:rPr>
                <w:rFonts w:ascii="宋体" w:hAnsi="宋体"/>
                <w:bCs/>
                <w:sz w:val="18"/>
                <w:szCs w:val="18"/>
              </w:rPr>
              <w:t>C</w:t>
            </w:r>
            <w:r>
              <w:rPr>
                <w:rFonts w:hint="eastAsia" w:ascii="宋体" w:hAnsi="宋体"/>
                <w:bCs/>
                <w:sz w:val="18"/>
                <w:szCs w:val="18"/>
              </w:rPr>
              <w:t>（适用【</w:t>
            </w:r>
            <w:r>
              <w:rPr>
                <w:rFonts w:ascii="宋体" w:hAnsi="宋体"/>
                <w:bCs/>
                <w:sz w:val="18"/>
                <w:szCs w:val="18"/>
              </w:rPr>
              <w:t>C</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兴银稳添利双周盈</w:t>
            </w:r>
            <w:r>
              <w:rPr>
                <w:rFonts w:ascii="宋体" w:hAnsi="宋体"/>
                <w:bCs/>
                <w:sz w:val="18"/>
                <w:szCs w:val="18"/>
              </w:rPr>
              <w:t>1</w:t>
            </w:r>
            <w:r>
              <w:rPr>
                <w:rFonts w:hint="eastAsia" w:ascii="宋体" w:hAnsi="宋体"/>
                <w:bCs/>
                <w:sz w:val="18"/>
                <w:szCs w:val="18"/>
              </w:rPr>
              <w:t>号（工行）（适用【</w:t>
            </w:r>
            <w:r>
              <w:rPr>
                <w:rFonts w:ascii="宋体" w:hAnsi="宋体"/>
                <w:bCs/>
                <w:sz w:val="18"/>
                <w:szCs w:val="18"/>
              </w:rPr>
              <w:t>D</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兴银稳添利双周盈</w:t>
            </w:r>
            <w:r>
              <w:rPr>
                <w:rFonts w:ascii="宋体" w:hAnsi="宋体"/>
                <w:bCs/>
                <w:sz w:val="18"/>
                <w:szCs w:val="18"/>
              </w:rPr>
              <w:t>1</w:t>
            </w:r>
            <w:r>
              <w:rPr>
                <w:rFonts w:hint="eastAsia" w:ascii="宋体" w:hAnsi="宋体"/>
                <w:bCs/>
                <w:sz w:val="18"/>
                <w:szCs w:val="18"/>
              </w:rPr>
              <w:t>号</w:t>
            </w:r>
            <w:r>
              <w:rPr>
                <w:rFonts w:ascii="宋体" w:hAnsi="宋体"/>
                <w:bCs/>
                <w:sz w:val="18"/>
                <w:szCs w:val="18"/>
              </w:rPr>
              <w:t>E</w:t>
            </w:r>
            <w:r>
              <w:rPr>
                <w:rFonts w:hint="eastAsia" w:ascii="宋体" w:hAnsi="宋体"/>
                <w:bCs/>
                <w:sz w:val="18"/>
                <w:szCs w:val="18"/>
              </w:rPr>
              <w:t>（适用【</w:t>
            </w:r>
            <w:r>
              <w:rPr>
                <w:rFonts w:ascii="宋体" w:hAnsi="宋体"/>
                <w:bCs/>
                <w:sz w:val="18"/>
                <w:szCs w:val="18"/>
              </w:rPr>
              <w:t>E</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vAlign w:val="center"/>
          </w:tcPr>
          <w:p>
            <w:pPr>
              <w:rPr>
                <w:rFonts w:ascii="宋体" w:hAnsi="宋体"/>
                <w:bCs/>
                <w:sz w:val="18"/>
                <w:szCs w:val="18"/>
              </w:rPr>
            </w:pPr>
            <w:r>
              <w:rPr>
                <w:rFonts w:hint="eastAsia" w:hAnsi="宋体"/>
                <w:sz w:val="18"/>
                <w:szCs w:val="18"/>
              </w:rPr>
              <w:t>【</w:t>
            </w:r>
            <w:r>
              <w:rPr>
                <w:rFonts w:ascii="宋体" w:hAnsi="宋体"/>
                <w:bCs/>
                <w:sz w:val="18"/>
                <w:szCs w:val="18"/>
              </w:rPr>
              <w:t>Z7002022000132</w:t>
            </w:r>
            <w:r>
              <w:rPr>
                <w:rFonts w:hint="eastAsia" w:ascii="宋体" w:hAnsi="宋体"/>
                <w:bCs/>
                <w:sz w:val="18"/>
                <w:szCs w:val="18"/>
              </w:rPr>
              <w:t>】注：</w:t>
            </w:r>
            <w:r>
              <w:rPr>
                <w:rFonts w:hint="eastAsia" w:hAnsi="宋体"/>
                <w:sz w:val="18"/>
                <w:szCs w:val="18"/>
              </w:rPr>
              <w:t>投资者可依</w:t>
            </w:r>
            <w:r>
              <w:rPr>
                <w:rFonts w:hint="eastAsia" w:ascii="宋体" w:hAnsi="宋体"/>
                <w:sz w:val="18"/>
                <w:szCs w:val="18"/>
              </w:rPr>
              <w:t>据理财产品登记编码在中国理财网(</w:t>
            </w:r>
            <w:r>
              <w:fldChar w:fldCharType="begin"/>
            </w:r>
            <w:r>
              <w:instrText xml:space="preserve"> HYPERLINK "http://www.chinawealth.com.cn" </w:instrText>
            </w:r>
            <w:r>
              <w:fldChar w:fldCharType="separate"/>
            </w:r>
            <w:r>
              <w:rPr>
                <w:rStyle w:val="29"/>
                <w:rFonts w:hint="eastAsia" w:ascii="宋体" w:hAnsi="宋体"/>
                <w:sz w:val="18"/>
                <w:szCs w:val="18"/>
              </w:rPr>
              <w:t>www.chinawealth.com.cn</w:t>
            </w:r>
            <w:r>
              <w:rPr>
                <w:rStyle w:val="29"/>
                <w:rFonts w:hint="eastAsia" w:ascii="宋体" w:hAnsi="宋体"/>
                <w:sz w:val="18"/>
                <w:szCs w:val="18"/>
              </w:rPr>
              <w:fldChar w:fldCharType="end"/>
            </w:r>
            <w:r>
              <w:rPr>
                <w:rFonts w:hint="eastAsia" w:ascii="宋体" w:hAnsi="宋体"/>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91051A】</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A</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91051B】</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B</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91051C】</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C</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91051D】</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D</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ascii="宋体" w:hAnsi="宋体"/>
                <w:bCs/>
                <w:color w:val="000000" w:themeColor="text1"/>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91051E】</w:t>
            </w:r>
            <w:r>
              <w:rPr>
                <w:rFonts w:hint="eastAsia" w:hAnsi="宋体"/>
                <w:sz w:val="18"/>
                <w:szCs w:val="18"/>
              </w:rPr>
              <w:t>（适用</w:t>
            </w:r>
            <w:r>
              <w:rPr>
                <w:rFonts w:hint="eastAsia" w:asciiTheme="minorEastAsia" w:hAnsiTheme="minorEastAsia"/>
                <w:sz w:val="18"/>
                <w:szCs w:val="18"/>
              </w:rPr>
              <w:t>【E】类</w:t>
            </w:r>
            <w:r>
              <w:rPr>
                <w:rFonts w:hint="eastAsia" w:hAnsi="宋体"/>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本产品</w:t>
            </w:r>
            <w:r>
              <w:rPr>
                <w:rFonts w:asciiTheme="majorEastAsia" w:hAnsiTheme="majorEastAsia" w:eastAsiaTheme="majorEastAsia"/>
                <w:bCs/>
                <w:color w:val="000000" w:themeColor="text1"/>
                <w:sz w:val="18"/>
                <w:szCs w:val="18"/>
              </w:rPr>
              <w:t>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宋体" w:hAnsi="宋体"/>
                <w:sz w:val="18"/>
                <w:szCs w:val="18"/>
              </w:rPr>
            </w:pPr>
            <w:r>
              <w:rPr>
                <w:rFonts w:hint="eastAsia" w:asciiTheme="majorEastAsia" w:hAnsiTheme="majorEastAsia" w:eastAsiaTheme="majorEastAsia"/>
                <w:bCs/>
                <w:sz w:val="18"/>
                <w:szCs w:val="18"/>
              </w:rPr>
              <w:t>1.本</w:t>
            </w:r>
            <w:r>
              <w:rPr>
                <w:rFonts w:hint="eastAsia" w:ascii="宋体" w:hAnsi="宋体"/>
                <w:sz w:val="18"/>
                <w:szCs w:val="18"/>
              </w:rPr>
              <w:t>产品计划初始募集规模为【</w:t>
            </w:r>
            <w:r>
              <w:rPr>
                <w:rFonts w:ascii="宋体" w:hAnsi="宋体"/>
                <w:sz w:val="18"/>
                <w:szCs w:val="18"/>
              </w:rPr>
              <w:t>10</w:t>
            </w:r>
            <w:r>
              <w:rPr>
                <w:rFonts w:hint="eastAsia" w:ascii="宋体" w:hAnsi="宋体"/>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022】年【</w:t>
            </w:r>
            <w:r>
              <w:rPr>
                <w:rFonts w:hint="eastAsia" w:cs="Times New Roman" w:asciiTheme="minorEastAsia" w:hAnsiTheme="minorEastAsia"/>
                <w:sz w:val="18"/>
                <w:szCs w:val="18"/>
              </w:rPr>
              <w:t>4】月【7】日【9</w:t>
            </w:r>
            <w:r>
              <w:rPr>
                <w:rFonts w:cs="Times New Roman" w:asciiTheme="minorEastAsia" w:hAnsiTheme="minorEastAsia"/>
                <w:sz w:val="18"/>
                <w:szCs w:val="18"/>
              </w:rPr>
              <w:t>:00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022】年【4</w:t>
            </w:r>
            <w:r>
              <w:rPr>
                <w:rFonts w:hint="eastAsia" w:cs="Times New Roman" w:asciiTheme="minorEastAsia" w:hAnsiTheme="minorEastAsia"/>
                <w:sz w:val="18"/>
                <w:szCs w:val="18"/>
              </w:rPr>
              <w:t>】月【13】日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5:45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asciiTheme="minorEastAsia" w:hAnsiTheme="minorEastAsia"/>
                <w:bCs/>
                <w:sz w:val="18"/>
                <w:szCs w:val="18"/>
              </w:rPr>
              <w:t>.</w:t>
            </w:r>
            <w:r>
              <w:rPr>
                <w:rFonts w:hint="eastAsia" w:ascii="宋体" w:hAnsi="宋体"/>
                <w:bCs/>
                <w:sz w:val="18"/>
                <w:szCs w:val="18"/>
              </w:rPr>
              <w:t>投资者在认购期</w:t>
            </w:r>
            <w:r>
              <w:rPr>
                <w:rFonts w:ascii="宋体" w:hAnsi="宋体"/>
                <w:bCs/>
                <w:sz w:val="18"/>
                <w:szCs w:val="18"/>
              </w:rPr>
              <w:t>/募集</w:t>
            </w:r>
            <w:r>
              <w:rPr>
                <w:rFonts w:hint="eastAsia" w:ascii="宋体" w:hAnsi="宋体"/>
                <w:sz w:val="18"/>
                <w:szCs w:val="18"/>
              </w:rPr>
              <w:t>期内认购</w:t>
            </w:r>
            <w:r>
              <w:rPr>
                <w:rFonts w:hint="eastAsia" w:ascii="宋体" w:hAnsi="宋体"/>
                <w:bCs/>
                <w:sz w:val="18"/>
                <w:szCs w:val="18"/>
              </w:rPr>
              <w:t>本</w:t>
            </w:r>
            <w:r>
              <w:rPr>
                <w:rFonts w:hint="eastAsia" w:ascii="宋体" w:hAnsi="宋体"/>
                <w:sz w:val="18"/>
                <w:szCs w:val="18"/>
              </w:rPr>
              <w:t>理财</w:t>
            </w:r>
            <w:r>
              <w:rPr>
                <w:rFonts w:hint="eastAsia" w:ascii="宋体" w:hAnsi="宋体"/>
                <w:bCs/>
                <w:sz w:val="18"/>
                <w:szCs w:val="18"/>
              </w:rPr>
              <w:t>产品后，</w:t>
            </w:r>
            <w:r>
              <w:rPr>
                <w:rFonts w:hint="eastAsia" w:ascii="宋体" w:hAnsi="宋体"/>
                <w:sz w:val="18"/>
                <w:szCs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asciiTheme="minorEastAsia" w:hAnsiTheme="minorEastAsia"/>
                <w:bCs/>
                <w:sz w:val="18"/>
                <w:szCs w:val="18"/>
              </w:rPr>
              <w:t>.认购期/</w:t>
            </w:r>
            <w:r>
              <w:rPr>
                <w:rFonts w:hint="eastAsia" w:ascii="宋体" w:hAnsi="宋体"/>
                <w:bCs/>
                <w:sz w:val="18"/>
                <w:szCs w:val="18"/>
              </w:rPr>
              <w:t>募集期内资金按照活期存款利息计息，认购期</w:t>
            </w:r>
            <w:r>
              <w:rPr>
                <w:rFonts w:ascii="宋体" w:hAnsi="宋体"/>
                <w:bCs/>
                <w:sz w:val="18"/>
                <w:szCs w:val="18"/>
              </w:rPr>
              <w:t>/募集期内的利息不计入认购本金</w:t>
            </w: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1.本产品的</w:t>
            </w:r>
            <w:r>
              <w:rPr>
                <w:rFonts w:hint="eastAsia" w:asciiTheme="minorEastAsia" w:hAnsiTheme="minorEastAsia"/>
                <w:bCs/>
                <w:sz w:val="18"/>
                <w:szCs w:val="18"/>
              </w:rPr>
              <w:t>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022】年【</w:t>
            </w:r>
            <w:r>
              <w:rPr>
                <w:rFonts w:hint="eastAsia" w:cs="Times New Roman" w:asciiTheme="minorEastAsia" w:hAnsiTheme="minorEastAsia"/>
                <w:sz w:val="18"/>
                <w:szCs w:val="18"/>
              </w:rPr>
              <w:t>4】月【14】日（遇节假日顺延）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ascii="宋体" w:hAnsi="宋体"/>
                <w:bCs/>
                <w:sz w:val="18"/>
                <w:szCs w:val="18"/>
              </w:rPr>
            </w:pPr>
            <w:r>
              <w:rPr>
                <w:rFonts w:asciiTheme="minorEastAsia" w:hAnsiTheme="minorEastAsia"/>
                <w:sz w:val="18"/>
                <w:szCs w:val="18"/>
              </w:rPr>
              <w:t>1.</w:t>
            </w:r>
            <w:r>
              <w:rPr>
                <w:rFonts w:hint="eastAsia" w:ascii="宋体" w:hAnsi="宋体"/>
                <w:bCs/>
                <w:sz w:val="18"/>
                <w:szCs w:val="18"/>
              </w:rPr>
              <w:t>本产品的封闭期</w:t>
            </w:r>
          </w:p>
          <w:p>
            <w:pPr>
              <w:spacing w:line="360" w:lineRule="auto"/>
              <w:rPr>
                <w:rFonts w:asciiTheme="minorEastAsia" w:hAnsiTheme="minorEastAsia"/>
                <w:sz w:val="18"/>
                <w:szCs w:val="18"/>
              </w:rPr>
            </w:pPr>
            <w:r>
              <w:rPr>
                <w:rFonts w:ascii="宋体" w:hAnsi="宋体"/>
                <w:bCs/>
                <w:sz w:val="18"/>
                <w:szCs w:val="18"/>
              </w:rPr>
              <w:t>本产品成立后</w:t>
            </w:r>
            <w:r>
              <w:rPr>
                <w:rFonts w:hint="eastAsia" w:ascii="宋体" w:hAnsi="宋体"/>
                <w:bCs/>
                <w:sz w:val="18"/>
                <w:szCs w:val="18"/>
              </w:rPr>
              <w:t>，</w:t>
            </w:r>
            <w:r>
              <w:rPr>
                <w:rFonts w:ascii="宋体" w:hAnsi="宋体"/>
                <w:bCs/>
                <w:sz w:val="18"/>
                <w:szCs w:val="18"/>
              </w:rPr>
              <w:t>产品封闭期</w:t>
            </w:r>
            <w:r>
              <w:rPr>
                <w:rFonts w:hint="eastAsia" w:ascii="宋体" w:hAnsi="宋体"/>
                <w:bCs/>
                <w:sz w:val="18"/>
                <w:szCs w:val="18"/>
              </w:rPr>
              <w:t>为【</w:t>
            </w:r>
            <w:r>
              <w:rPr>
                <w:rFonts w:ascii="宋体" w:hAnsi="宋体"/>
                <w:bCs/>
                <w:sz w:val="18"/>
                <w:szCs w:val="18"/>
              </w:rPr>
              <w:t>2022</w:t>
            </w:r>
            <w:r>
              <w:rPr>
                <w:rFonts w:hint="eastAsia" w:ascii="宋体" w:hAnsi="宋体"/>
                <w:bCs/>
                <w:sz w:val="18"/>
                <w:szCs w:val="18"/>
              </w:rPr>
              <w:t>】年【</w:t>
            </w:r>
            <w:r>
              <w:rPr>
                <w:rFonts w:ascii="宋体" w:hAnsi="宋体"/>
                <w:bCs/>
                <w:sz w:val="18"/>
                <w:szCs w:val="18"/>
              </w:rPr>
              <w:t>4</w:t>
            </w:r>
            <w:r>
              <w:rPr>
                <w:rFonts w:hint="eastAsia" w:ascii="宋体" w:hAnsi="宋体"/>
                <w:bCs/>
                <w:sz w:val="18"/>
                <w:szCs w:val="18"/>
              </w:rPr>
              <w:t>】月【</w:t>
            </w:r>
            <w:r>
              <w:rPr>
                <w:rFonts w:ascii="宋体" w:hAnsi="宋体"/>
                <w:bCs/>
                <w:sz w:val="18"/>
                <w:szCs w:val="18"/>
              </w:rPr>
              <w:t>14</w:t>
            </w:r>
            <w:r>
              <w:rPr>
                <w:rFonts w:hint="eastAsia" w:ascii="宋体" w:hAnsi="宋体"/>
                <w:bCs/>
                <w:sz w:val="18"/>
                <w:szCs w:val="18"/>
              </w:rPr>
              <w:t>】日至【</w:t>
            </w:r>
            <w:r>
              <w:rPr>
                <w:rFonts w:ascii="宋体" w:hAnsi="宋体"/>
                <w:bCs/>
                <w:sz w:val="18"/>
                <w:szCs w:val="18"/>
              </w:rPr>
              <w:t>2022</w:t>
            </w:r>
            <w:r>
              <w:rPr>
                <w:rFonts w:hint="eastAsia" w:ascii="宋体" w:hAnsi="宋体"/>
                <w:bCs/>
                <w:sz w:val="18"/>
                <w:szCs w:val="18"/>
              </w:rPr>
              <w:t>】年【</w:t>
            </w:r>
            <w:r>
              <w:rPr>
                <w:rFonts w:ascii="宋体" w:hAnsi="宋体"/>
                <w:bCs/>
                <w:sz w:val="18"/>
                <w:szCs w:val="18"/>
              </w:rPr>
              <w:t>4</w:t>
            </w:r>
            <w:r>
              <w:rPr>
                <w:rFonts w:hint="eastAsia" w:ascii="宋体" w:hAnsi="宋体"/>
                <w:bCs/>
                <w:sz w:val="18"/>
                <w:szCs w:val="18"/>
              </w:rPr>
              <w:t>】月【</w:t>
            </w:r>
            <w:r>
              <w:rPr>
                <w:rFonts w:ascii="宋体" w:hAnsi="宋体"/>
                <w:bCs/>
                <w:sz w:val="18"/>
                <w:szCs w:val="18"/>
              </w:rPr>
              <w:t>20</w:t>
            </w:r>
            <w:r>
              <w:rPr>
                <w:rFonts w:hint="eastAsia" w:ascii="宋体" w:hAnsi="宋体"/>
                <w:bCs/>
                <w:sz w:val="18"/>
                <w:szCs w:val="18"/>
              </w:rPr>
              <w:t>】日，</w:t>
            </w:r>
            <w:r>
              <w:rPr>
                <w:rFonts w:hint="eastAsia" w:asciiTheme="minorEastAsia" w:hAnsiTheme="minorEastAsia"/>
                <w:sz w:val="18"/>
                <w:szCs w:val="18"/>
              </w:rPr>
              <w:t>封闭期内不接受申购或赎回申请。</w:t>
            </w:r>
          </w:p>
          <w:p>
            <w:pPr>
              <w:spacing w:line="360" w:lineRule="auto"/>
              <w:rPr>
                <w:rFonts w:asciiTheme="minorEastAsia" w:hAnsiTheme="minorEastAsia"/>
                <w:sz w:val="18"/>
                <w:szCs w:val="18"/>
              </w:rPr>
            </w:pPr>
            <w:r>
              <w:rPr>
                <w:rFonts w:hint="eastAsia" w:asciiTheme="minorEastAsia" w:hAnsiTheme="minorEastAsia"/>
                <w:sz w:val="18"/>
                <w:szCs w:val="18"/>
              </w:rPr>
              <w:t>2.本产品的开放期</w:t>
            </w:r>
          </w:p>
          <w:p>
            <w:pPr>
              <w:spacing w:line="360" w:lineRule="auto"/>
              <w:rPr>
                <w:rFonts w:ascii="宋体" w:hAnsi="宋体"/>
                <w:bCs/>
                <w:sz w:val="18"/>
                <w:szCs w:val="18"/>
              </w:rPr>
            </w:pPr>
            <w:r>
              <w:rPr>
                <w:rFonts w:hint="eastAsia" w:asciiTheme="minorEastAsia" w:hAnsiTheme="minorEastAsia"/>
                <w:sz w:val="18"/>
                <w:szCs w:val="18"/>
              </w:rPr>
              <w:t>本理财产品最短持有期为【14】个自然日。本产品封闭期结束后的第一个工作日起每日开放（产品管理人公告暂停开放的日期除外），投资者可于开放期内提交申购申请。自产品成立日/申购确认日起第【14】个自然日内（不含当日）投资者不能赎回该产品份额，自产品成立日/申购确认日起第【14】个自然日起（含当日），投资者可于任一开放日赎回该产品份额。</w:t>
            </w:r>
          </w:p>
          <w:p>
            <w:pPr>
              <w:spacing w:line="360" w:lineRule="auto"/>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申购安排：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（1）申购的时间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前提交申购申请的，提交当日为申购日。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申购的确认</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申购日后的【2】个工作日内为申购确认日。</w:t>
            </w:r>
          </w:p>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.赎回安排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宋体" w:hAnsi="宋体"/>
                <w:bCs/>
                <w:sz w:val="18"/>
                <w:szCs w:val="18"/>
              </w:rPr>
              <w:t>赎回的时间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前提交赎回申请的，提交当日为赎回日。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（2）赎回</w:t>
            </w:r>
            <w:r>
              <w:rPr>
                <w:rFonts w:asciiTheme="minorEastAsia" w:hAnsiTheme="minorEastAsia" w:eastAsiaTheme="minorEastAsia"/>
                <w:sz w:val="18"/>
                <w:szCs w:val="18"/>
              </w:rPr>
              <w:t>的确认</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赎回日后的【2】个工作日内为赎回确认日。</w:t>
            </w:r>
          </w:p>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5.</w:t>
            </w:r>
            <w:r>
              <w:rPr>
                <w:rFonts w:hint="eastAsia" w:asciiTheme="majorEastAsia" w:hAnsiTheme="majorEastAsia"/>
                <w:color w:val="000000" w:themeColor="text1"/>
                <w:sz w:val="18"/>
              </w:rPr>
              <w:t>赎回</w:t>
            </w:r>
            <w:r>
              <w:rPr>
                <w:rFonts w:hint="eastAsia" w:asciiTheme="majorEastAsia" w:hAnsiTheme="majorEastAsia" w:eastAsiaTheme="majorEastAsia"/>
                <w:bCs/>
                <w:color w:val="000000" w:themeColor="text1"/>
                <w:sz w:val="18"/>
                <w:szCs w:val="18"/>
              </w:rPr>
              <w:t>款项于</w:t>
            </w:r>
            <w:r>
              <w:rPr>
                <w:rFonts w:hint="eastAsia" w:cs="Times New Roman" w:asciiTheme="minorEastAsia" w:hAnsiTheme="minorEastAsia" w:eastAsiaTheme="minorEastAsia"/>
                <w:bCs/>
                <w:kern w:val="0"/>
                <w:sz w:val="18"/>
                <w:szCs w:val="18"/>
              </w:rPr>
              <w:t>赎回</w:t>
            </w:r>
            <w:r>
              <w:rPr>
                <w:rFonts w:hint="eastAsia" w:asciiTheme="minorEastAsia" w:hAnsiTheme="minorEastAsia"/>
                <w:kern w:val="0"/>
                <w:sz w:val="18"/>
              </w:rPr>
              <w:t>日后【3】个工作日</w:t>
            </w:r>
            <w:r>
              <w:rPr>
                <w:rFonts w:hint="eastAsia" w:cs="Times New Roman"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cs="Times New Roman" w:asciiTheme="minorEastAsia" w:hAnsiTheme="minorEastAsia" w:eastAsiaTheme="minorEastAsia"/>
                <w:bCs/>
                <w:kern w:val="0"/>
                <w:sz w:val="18"/>
                <w:szCs w:val="18"/>
              </w:rPr>
              <w:t>。</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注：关于代理销售机构的实际工作服务时段的提示</w:t>
            </w:r>
          </w:p>
          <w:p>
            <w:pPr>
              <w:spacing w:line="360" w:lineRule="auto"/>
              <w:rPr>
                <w:rFonts w:ascii="黑体" w:hAnsi="黑体" w:eastAsia="黑体"/>
                <w:sz w:val="18"/>
                <w:szCs w:val="18"/>
              </w:rPr>
            </w:pPr>
            <w:r>
              <w:rPr>
                <w:rFonts w:hint="eastAsia" w:ascii="黑体" w:hAnsi="黑体" w:eastAsia="黑体"/>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sz w:val="18"/>
                <w:szCs w:val="18"/>
              </w:rPr>
              <w:t>以</w:t>
            </w:r>
            <w:r>
              <w:rPr>
                <w:rFonts w:hint="eastAsia" w:ascii="黑体" w:hAnsi="黑体" w:eastAsia="黑体"/>
                <w:sz w:val="18"/>
                <w:szCs w:val="18"/>
              </w:rPr>
              <w:t>代理销售机构的展示</w:t>
            </w:r>
            <w:r>
              <w:rPr>
                <w:rFonts w:ascii="黑体" w:hAnsi="黑体" w:eastAsia="黑体"/>
                <w:sz w:val="18"/>
                <w:szCs w:val="18"/>
              </w:rPr>
              <w:t>为准</w:t>
            </w:r>
            <w:r>
              <w:rPr>
                <w:rFonts w:hint="eastAsia" w:ascii="黑体" w:hAnsi="黑体" w:eastAsia="黑体"/>
                <w:sz w:val="18"/>
                <w:szCs w:val="18"/>
              </w:rPr>
              <w:t>。</w:t>
            </w:r>
          </w:p>
          <w:p>
            <w:pPr>
              <w:spacing w:line="360" w:lineRule="auto"/>
              <w:rPr>
                <w:rFonts w:ascii="黑体" w:hAnsi="黑体" w:eastAsia="黑体"/>
                <w:bCs/>
                <w:color w:val="000000" w:themeColor="text1"/>
                <w:sz w:val="18"/>
                <w:szCs w:val="18"/>
              </w:rPr>
            </w:pPr>
            <w:r>
              <w:rPr>
                <w:rFonts w:hint="eastAsia" w:ascii="黑体" w:hAnsi="黑体" w:eastAsia="黑体"/>
                <w:sz w:val="18"/>
                <w:szCs w:val="18"/>
              </w:rPr>
              <w:t>②代理销售机构的实际工作服务时段，最早不得早于销售文件约定</w:t>
            </w:r>
            <w:r>
              <w:rPr>
                <w:rFonts w:ascii="黑体" w:hAnsi="黑体" w:eastAsia="黑体"/>
                <w:sz w:val="18"/>
                <w:szCs w:val="18"/>
              </w:rPr>
              <w:t>的</w:t>
            </w:r>
            <w:r>
              <w:rPr>
                <w:rFonts w:hint="eastAsia" w:ascii="黑体" w:hAnsi="黑体" w:eastAsia="黑体"/>
                <w:sz w:val="18"/>
                <w:szCs w:val="18"/>
              </w:rPr>
              <w:t>起始时点、最晚不得晚于销售文件</w:t>
            </w:r>
            <w:r>
              <w:rPr>
                <w:rFonts w:ascii="黑体" w:hAnsi="黑体" w:eastAsia="黑体"/>
                <w:sz w:val="18"/>
                <w:szCs w:val="18"/>
              </w:rPr>
              <w:t>约定的</w:t>
            </w:r>
            <w:r>
              <w:rPr>
                <w:rFonts w:hint="eastAsia" w:ascii="黑体" w:hAnsi="黑体" w:eastAsia="黑体"/>
                <w:sz w:val="18"/>
                <w:szCs w:val="18"/>
              </w:rPr>
              <w:t>终止时点</w:t>
            </w:r>
            <w:r>
              <w:rPr>
                <w:rFonts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hAnsi="宋体"/>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.0】元；超出起点金额的部分以【</w:t>
            </w:r>
            <w:r>
              <w:rPr>
                <w:rFonts w:hint="eastAsia" w:asciiTheme="majorEastAsia" w:hAnsiTheme="majorEastAsia" w:eastAsiaTheme="majorEastAsia"/>
                <w:bCs/>
                <w:sz w:val="18"/>
                <w:szCs w:val="18"/>
              </w:rPr>
              <w:t>0</w:t>
            </w:r>
            <w:r>
              <w:rPr>
                <w:rFonts w:asciiTheme="majorEastAsia" w:hAnsiTheme="majorEastAsia" w:eastAsiaTheme="majorEastAsia"/>
                <w:bCs/>
                <w:sz w:val="18"/>
                <w:szCs w:val="18"/>
              </w:rPr>
              <w:t>.01】元的整数</w:t>
            </w:r>
            <w:r>
              <w:rPr>
                <w:rFonts w:hint="eastAsia" w:asciiTheme="majorEastAsia" w:hAnsiTheme="majorEastAsia" w:eastAsiaTheme="majorEastAsia"/>
                <w:bCs/>
                <w:sz w:val="18"/>
                <w:szCs w:val="18"/>
              </w:rPr>
              <w:t>倍递增。</w:t>
            </w:r>
            <w:r>
              <w:rPr>
                <w:rFonts w:hint="eastAsia" w:hAnsi="宋体"/>
                <w:bCs/>
                <w:sz w:val="18"/>
                <w:szCs w:val="18"/>
              </w:rPr>
              <w:t>（适用【A</w:t>
            </w:r>
            <w:r>
              <w:rPr>
                <w:rFonts w:hAnsi="宋体"/>
                <w:bCs/>
                <w:sz w:val="18"/>
                <w:szCs w:val="18"/>
              </w:rPr>
              <w:t>/B/D</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000】元；超出起点金额的部分以【1】元的整数</w:t>
            </w:r>
            <w:r>
              <w:rPr>
                <w:rFonts w:hint="eastAsia" w:asciiTheme="majorEastAsia" w:hAnsiTheme="majorEastAsia" w:eastAsiaTheme="majorEastAsia"/>
                <w:bCs/>
                <w:sz w:val="18"/>
                <w:szCs w:val="18"/>
              </w:rPr>
              <w:t>倍递增。</w:t>
            </w:r>
            <w:r>
              <w:rPr>
                <w:rFonts w:hint="eastAsia" w:hAnsi="宋体"/>
                <w:bCs/>
                <w:sz w:val="18"/>
                <w:szCs w:val="18"/>
              </w:rPr>
              <w:t>（适用【</w:t>
            </w:r>
            <w:r>
              <w:rPr>
                <w:rFonts w:hAnsi="宋体"/>
                <w:bCs/>
                <w:sz w:val="18"/>
                <w:szCs w:val="18"/>
              </w:rPr>
              <w:t>C</w:t>
            </w:r>
            <w:r>
              <w:rPr>
                <w:rFonts w:hint="eastAsia" w:hAnsi="宋体"/>
                <w:bCs/>
                <w:sz w:val="18"/>
                <w:szCs w:val="18"/>
              </w:rPr>
              <w:t>】类</w:t>
            </w:r>
            <w:r>
              <w:rPr>
                <w:rFonts w:hAnsi="宋体"/>
                <w:bCs/>
                <w:sz w:val="18"/>
                <w:szCs w:val="18"/>
              </w:rPr>
              <w:t>份额</w:t>
            </w:r>
            <w:r>
              <w:rPr>
                <w:rFonts w:hint="eastAsia" w:asciiTheme="majorEastAsia" w:hAnsiTheme="majorEastAsia" w:eastAsiaTheme="majorEastAsia"/>
                <w:bCs/>
                <w:color w:val="000000" w:themeColor="text1"/>
                <w:sz w:val="18"/>
                <w:szCs w:val="18"/>
              </w:rPr>
              <w:t>）</w:t>
            </w:r>
          </w:p>
          <w:p>
            <w:pPr>
              <w:spacing w:line="360" w:lineRule="auto"/>
              <w:rPr>
                <w:rFonts w:hint="eastAsia" w:hAnsi="宋体"/>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.0】元；超出起点金额的部分以【1.0】元的整数</w:t>
            </w:r>
            <w:r>
              <w:rPr>
                <w:rFonts w:hint="eastAsia" w:asciiTheme="majorEastAsia" w:hAnsiTheme="majorEastAsia" w:eastAsiaTheme="majorEastAsia"/>
                <w:bCs/>
                <w:sz w:val="18"/>
                <w:szCs w:val="18"/>
              </w:rPr>
              <w:t>倍递增。</w:t>
            </w:r>
            <w:r>
              <w:rPr>
                <w:rFonts w:hint="eastAsia" w:hAnsi="宋体"/>
                <w:bCs/>
                <w:sz w:val="18"/>
                <w:szCs w:val="18"/>
              </w:rPr>
              <w:t>（适用【</w:t>
            </w:r>
            <w:r>
              <w:rPr>
                <w:rFonts w:hAnsi="宋体"/>
                <w:bCs/>
                <w:sz w:val="18"/>
                <w:szCs w:val="18"/>
              </w:rPr>
              <w:t>E</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43"/>
              <w:spacing w:line="360" w:lineRule="auto"/>
              <w:rPr>
                <w:rFonts w:asciiTheme="minorEastAsia" w:hAnsiTheme="minorEastAsia" w:eastAsiaTheme="minorEastAsia"/>
                <w:color w:val="auto"/>
                <w:sz w:val="18"/>
                <w:szCs w:val="18"/>
              </w:rPr>
            </w:pPr>
            <w:r>
              <w:rPr>
                <w:rFonts w:hint="eastAsia" w:hAnsi="宋体"/>
                <w:bCs/>
                <w:sz w:val="18"/>
                <w:szCs w:val="18"/>
              </w:rPr>
              <w:t>（适用【A/B/C</w:t>
            </w:r>
            <w:r>
              <w:rPr>
                <w:rFonts w:hAnsi="宋体"/>
                <w:bCs/>
                <w:sz w:val="18"/>
                <w:szCs w:val="18"/>
              </w:rPr>
              <w:t>/D/E</w:t>
            </w:r>
            <w:r>
              <w:rPr>
                <w:rFonts w:hint="eastAsia" w:hAnsi="宋体"/>
                <w:bCs/>
                <w:sz w:val="18"/>
                <w:szCs w:val="18"/>
              </w:rPr>
              <w:t>】类</w:t>
            </w:r>
            <w:r>
              <w:rPr>
                <w:rFonts w:hAnsi="宋体"/>
                <w:bCs/>
                <w:sz w:val="18"/>
                <w:szCs w:val="18"/>
              </w:rPr>
              <w:t>份额</w:t>
            </w:r>
            <w:r>
              <w:rPr>
                <w:rFonts w:hint="eastAsia" w:hAnsi="宋体"/>
                <w:bCs/>
                <w:sz w:val="18"/>
                <w:szCs w:val="18"/>
              </w:rPr>
              <w:t>）</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43"/>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43"/>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43"/>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本产品单一投资者持有份额不得超过产品总份额50%。</w:t>
            </w:r>
          </w:p>
          <w:p>
            <w:pPr>
              <w:pStyle w:val="43"/>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（1）投资者认购或申购确认后可能导致其持有份额超过产品总份额50%的，管理人有权拒绝或暂停认购、申购。</w:t>
            </w:r>
          </w:p>
          <w:p>
            <w:pPr>
              <w:pStyle w:val="43"/>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43"/>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每</w:t>
            </w:r>
            <w:r>
              <w:rPr>
                <w:rFonts w:asciiTheme="majorEastAsia" w:hAnsiTheme="majorEastAsia" w:eastAsiaTheme="majorEastAsia"/>
                <w:bCs/>
                <w:sz w:val="18"/>
                <w:szCs w:val="18"/>
              </w:rPr>
              <w:t>个</w:t>
            </w:r>
            <w:r>
              <w:rPr>
                <w:rFonts w:hint="eastAsia" w:asciiTheme="majorEastAsia" w:hAnsiTheme="majorEastAsia" w:eastAsiaTheme="majorEastAsia"/>
                <w:bCs/>
                <w:sz w:val="18"/>
                <w:szCs w:val="18"/>
              </w:rPr>
              <w:t>赎回</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，本产品的净赎回申请（赎回</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份额总数扣除申购</w:t>
            </w:r>
            <w:r>
              <w:rPr>
                <w:rFonts w:hint="eastAsia" w:asciiTheme="majorEastAsia" w:hAnsiTheme="majorEastAsia" w:eastAsiaTheme="majorEastAsia"/>
                <w:bCs/>
                <w:color w:val="auto"/>
                <w:sz w:val="18"/>
                <w:szCs w:val="18"/>
              </w:rPr>
              <w:t>申请总</w:t>
            </w:r>
            <w:r>
              <w:rPr>
                <w:rFonts w:hint="eastAsia" w:asciiTheme="majorEastAsia" w:hAnsiTheme="majorEastAsia" w:eastAsiaTheme="majorEastAsia"/>
                <w:bCs/>
                <w:sz w:val="18"/>
                <w:szCs w:val="18"/>
              </w:rPr>
              <w:t>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下同）超过上一赎回日产品总份额的【</w:t>
            </w:r>
            <w:r>
              <w:rPr>
                <w:rFonts w:asciiTheme="majorEastAsia" w:hAnsiTheme="majorEastAsia" w:eastAsiaTheme="majorEastAsia"/>
                <w:bCs/>
                <w:sz w:val="18"/>
                <w:szCs w:val="18"/>
              </w:rPr>
              <w:t>10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Theme="majorEastAsia" w:hAnsiTheme="majorEastAsia"/>
                <w:bCs/>
                <w:sz w:val="18"/>
                <w:szCs w:val="18"/>
              </w:rPr>
            </w:pPr>
            <w:r>
              <w:rPr>
                <w:rFonts w:hint="eastAsia" w:ascii="宋体" w:hAnsi="宋体"/>
                <w:b/>
                <w:bCs/>
                <w:sz w:val="18"/>
                <w:szCs w:val="18"/>
              </w:rPr>
              <w:t>1.业绩比较基准的说明：【</w:t>
            </w:r>
            <w:r>
              <w:rPr>
                <w:rFonts w:hint="eastAsia" w:asciiTheme="majorEastAsia" w:hAnsiTheme="majorEastAsia" w:eastAsiaTheme="majorEastAsia"/>
                <w:bCs/>
                <w:sz w:val="18"/>
                <w:szCs w:val="18"/>
              </w:rPr>
              <w:t>基于当前对未来市场的判断，根据拟投资固定收益类资产的信用利差、久期敞口以及流动性溢价，预判组合的波动幅度。</w:t>
            </w:r>
            <w:r>
              <w:rPr>
                <w:rFonts w:ascii="宋体" w:hAnsi="宋体"/>
                <w:b/>
                <w:bCs/>
                <w:sz w:val="18"/>
                <w:szCs w:val="18"/>
              </w:rPr>
              <w:t>】</w:t>
            </w:r>
            <w:r>
              <w:rPr>
                <w:rFonts w:hint="eastAsia" w:ascii="宋体" w:hAnsi="宋体"/>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2.业绩比较基准的设定</w:t>
            </w:r>
            <w:r>
              <w:rPr>
                <w:rFonts w:hint="eastAsia" w:asciiTheme="majorEastAsia" w:hAnsiTheme="majorEastAsia" w:eastAsiaTheme="majorEastAsia"/>
                <w:bCs/>
                <w:sz w:val="18"/>
                <w:szCs w:val="18"/>
              </w:rPr>
              <w:t>：</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.60-3.90</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A</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.50-3.80</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B</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.55-3.85</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C</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.45-3.75</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D</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.35-3.65</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E</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jc w:val="left"/>
              <w:rPr>
                <w:rFonts w:ascii="宋体" w:hAnsi="宋体"/>
                <w:sz w:val="18"/>
                <w:szCs w:val="18"/>
              </w:rPr>
            </w:pPr>
            <w:r>
              <w:rPr>
                <w:rFonts w:ascii="宋体" w:hAnsi="宋体"/>
                <w:sz w:val="18"/>
                <w:szCs w:val="18"/>
              </w:rPr>
              <w:t>1.</w:t>
            </w:r>
            <w:r>
              <w:rPr>
                <w:rFonts w:hint="eastAsia" w:ascii="宋体" w:hAnsi="宋体"/>
                <w:sz w:val="18"/>
                <w:szCs w:val="18"/>
              </w:rPr>
              <w:t>认购费：【</w:t>
            </w:r>
            <w:r>
              <w:rPr>
                <w:rFonts w:ascii="宋体" w:hAnsi="宋体"/>
                <w:sz w:val="18"/>
                <w:szCs w:val="18"/>
              </w:rPr>
              <w:t>/</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2.申购费：</w:t>
            </w:r>
            <w:r>
              <w:rPr>
                <w:rFonts w:hint="eastAsia" w:ascii="宋体" w:hAnsi="宋体"/>
                <w:sz w:val="18"/>
                <w:szCs w:val="18"/>
              </w:rPr>
              <w:t>【</w:t>
            </w:r>
            <w:r>
              <w:rPr>
                <w:rFonts w:ascii="宋体" w:hAnsi="宋体"/>
                <w:sz w:val="18"/>
                <w:szCs w:val="18"/>
              </w:rPr>
              <w:t>/</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3.</w:t>
            </w:r>
            <w:r>
              <w:rPr>
                <w:rFonts w:hint="eastAsia" w:ascii="宋体" w:hAnsi="宋体"/>
                <w:sz w:val="18"/>
                <w:szCs w:val="18"/>
              </w:rPr>
              <w:t>赎回费：【</w:t>
            </w:r>
            <w:r>
              <w:rPr>
                <w:rFonts w:ascii="宋体" w:hAnsi="宋体"/>
                <w:sz w:val="18"/>
                <w:szCs w:val="18"/>
              </w:rPr>
              <w:t>/</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4.销售服</w:t>
            </w:r>
            <w:r>
              <w:rPr>
                <w:rFonts w:hint="eastAsia" w:ascii="宋体" w:hAnsi="宋体"/>
                <w:sz w:val="18"/>
                <w:szCs w:val="18"/>
              </w:rPr>
              <w:t>务费：</w:t>
            </w:r>
            <w:r>
              <w:rPr>
                <w:rFonts w:ascii="宋体" w:hAnsi="宋体"/>
                <w:sz w:val="18"/>
                <w:szCs w:val="18"/>
              </w:rPr>
              <w:t>年化费率</w:t>
            </w:r>
            <w:r>
              <w:rPr>
                <w:rFonts w:hint="eastAsia" w:ascii="宋体" w:hAnsi="宋体"/>
                <w:sz w:val="18"/>
                <w:szCs w:val="18"/>
              </w:rPr>
              <w:t>【</w:t>
            </w:r>
            <w:r>
              <w:rPr>
                <w:rFonts w:ascii="宋体" w:hAnsi="宋体"/>
                <w:sz w:val="18"/>
                <w:szCs w:val="18"/>
              </w:rPr>
              <w:t>0.40</w:t>
            </w:r>
            <w:r>
              <w:rPr>
                <w:rFonts w:hint="eastAsia" w:ascii="宋体" w:hAnsi="宋体"/>
                <w:sz w:val="18"/>
                <w:szCs w:val="18"/>
              </w:rPr>
              <w:t>%】</w:t>
            </w:r>
            <w:r>
              <w:rPr>
                <w:rFonts w:hint="eastAsia" w:hAnsi="宋体"/>
                <w:bCs/>
                <w:sz w:val="18"/>
                <w:szCs w:val="18"/>
              </w:rPr>
              <w:t>（适用【A/B/</w:t>
            </w:r>
            <w:r>
              <w:rPr>
                <w:rFonts w:hAnsi="宋体"/>
                <w:bCs/>
                <w:sz w:val="18"/>
                <w:szCs w:val="18"/>
              </w:rPr>
              <w:t>C</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ascii="宋体" w:hAnsi="宋体"/>
                <w:sz w:val="18"/>
                <w:szCs w:val="18"/>
              </w:rPr>
              <w:t>年化费率</w:t>
            </w:r>
            <w:r>
              <w:rPr>
                <w:rFonts w:hint="eastAsia" w:ascii="宋体" w:hAnsi="宋体"/>
                <w:sz w:val="18"/>
                <w:szCs w:val="18"/>
              </w:rPr>
              <w:t>【</w:t>
            </w:r>
            <w:r>
              <w:rPr>
                <w:rFonts w:ascii="宋体" w:hAnsi="宋体"/>
                <w:sz w:val="18"/>
                <w:szCs w:val="18"/>
              </w:rPr>
              <w:t>0.20</w:t>
            </w:r>
            <w:r>
              <w:rPr>
                <w:rFonts w:hint="eastAsia" w:ascii="宋体" w:hAnsi="宋体"/>
                <w:sz w:val="18"/>
                <w:szCs w:val="18"/>
              </w:rPr>
              <w:t>%】</w:t>
            </w:r>
            <w:r>
              <w:rPr>
                <w:rFonts w:hint="eastAsia" w:hAnsi="宋体"/>
                <w:bCs/>
                <w:sz w:val="18"/>
                <w:szCs w:val="18"/>
              </w:rPr>
              <w:t>（适用【</w:t>
            </w:r>
            <w:r>
              <w:rPr>
                <w:rFonts w:hAnsi="宋体"/>
                <w:bCs/>
                <w:sz w:val="18"/>
                <w:szCs w:val="18"/>
              </w:rPr>
              <w:t>D</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sz w:val="18"/>
                <w:szCs w:val="18"/>
              </w:rPr>
            </w:pPr>
            <w:r>
              <w:rPr>
                <w:rFonts w:ascii="宋体" w:hAnsi="宋体"/>
                <w:sz w:val="18"/>
                <w:szCs w:val="18"/>
              </w:rPr>
              <w:t>年化费率</w:t>
            </w:r>
            <w:r>
              <w:rPr>
                <w:rFonts w:hint="eastAsia" w:ascii="宋体" w:hAnsi="宋体"/>
                <w:sz w:val="18"/>
                <w:szCs w:val="18"/>
              </w:rPr>
              <w:t>【</w:t>
            </w:r>
            <w:r>
              <w:rPr>
                <w:rFonts w:ascii="宋体" w:hAnsi="宋体"/>
                <w:sz w:val="18"/>
                <w:szCs w:val="18"/>
              </w:rPr>
              <w:t>0.30</w:t>
            </w:r>
            <w:r>
              <w:rPr>
                <w:rFonts w:hint="eastAsia" w:ascii="宋体" w:hAnsi="宋体"/>
                <w:sz w:val="18"/>
                <w:szCs w:val="18"/>
              </w:rPr>
              <w:t>%】</w:t>
            </w:r>
            <w:r>
              <w:rPr>
                <w:rFonts w:hint="eastAsia" w:hAnsi="宋体"/>
                <w:bCs/>
                <w:sz w:val="18"/>
                <w:szCs w:val="18"/>
              </w:rPr>
              <w:t>（适用【</w:t>
            </w:r>
            <w:r>
              <w:rPr>
                <w:rFonts w:hAnsi="宋体"/>
                <w:bCs/>
                <w:sz w:val="18"/>
                <w:szCs w:val="18"/>
              </w:rPr>
              <w:t>E</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sz w:val="18"/>
                <w:szCs w:val="18"/>
              </w:rPr>
            </w:pPr>
            <w:r>
              <w:rPr>
                <w:rFonts w:ascii="宋体" w:hAnsi="宋体"/>
                <w:sz w:val="18"/>
                <w:szCs w:val="18"/>
              </w:rPr>
              <w:t>5.</w:t>
            </w:r>
            <w:r>
              <w:rPr>
                <w:rFonts w:hint="eastAsia" w:ascii="宋体" w:hAnsi="宋体"/>
                <w:sz w:val="18"/>
                <w:szCs w:val="18"/>
              </w:rPr>
              <w:t>投资管理费：年化</w:t>
            </w:r>
            <w:r>
              <w:rPr>
                <w:rFonts w:ascii="宋体" w:hAnsi="宋体"/>
                <w:sz w:val="18"/>
                <w:szCs w:val="18"/>
              </w:rPr>
              <w:t>费率</w:t>
            </w:r>
            <w:r>
              <w:rPr>
                <w:rFonts w:hint="eastAsia" w:ascii="宋体" w:hAnsi="宋体"/>
                <w:sz w:val="18"/>
                <w:szCs w:val="18"/>
              </w:rPr>
              <w:t>【</w:t>
            </w:r>
            <w:r>
              <w:rPr>
                <w:rFonts w:ascii="宋体" w:hAnsi="宋体"/>
                <w:sz w:val="18"/>
                <w:szCs w:val="18"/>
              </w:rPr>
              <w:t>0.30</w:t>
            </w:r>
            <w:r>
              <w:rPr>
                <w:rFonts w:hint="eastAsia" w:ascii="宋体" w:hAnsi="宋体"/>
                <w:sz w:val="18"/>
                <w:szCs w:val="18"/>
              </w:rPr>
              <w:t>%</w:t>
            </w:r>
            <w:r>
              <w:rPr>
                <w:rFonts w:ascii="宋体" w:hAnsi="宋体"/>
                <w:sz w:val="18"/>
                <w:szCs w:val="18"/>
              </w:rPr>
              <w:t>】</w:t>
            </w:r>
          </w:p>
          <w:p>
            <w:pPr>
              <w:spacing w:line="360" w:lineRule="auto"/>
              <w:jc w:val="left"/>
              <w:rPr>
                <w:rFonts w:ascii="宋体" w:hAnsi="宋体"/>
                <w:sz w:val="18"/>
                <w:szCs w:val="18"/>
              </w:rPr>
            </w:pPr>
            <w:r>
              <w:rPr>
                <w:rFonts w:ascii="宋体" w:hAnsi="宋体"/>
                <w:sz w:val="18"/>
                <w:szCs w:val="18"/>
              </w:rPr>
              <w:t>6.</w:t>
            </w:r>
            <w:r>
              <w:rPr>
                <w:rFonts w:hint="eastAsia" w:ascii="宋体" w:hAnsi="宋体"/>
                <w:sz w:val="18"/>
                <w:szCs w:val="18"/>
              </w:rPr>
              <w:t>产品托管费：年化</w:t>
            </w:r>
            <w:r>
              <w:rPr>
                <w:rFonts w:ascii="宋体" w:hAnsi="宋体"/>
                <w:sz w:val="18"/>
                <w:szCs w:val="18"/>
              </w:rPr>
              <w:t>费率</w:t>
            </w:r>
            <w:r>
              <w:rPr>
                <w:rFonts w:hint="eastAsia" w:ascii="宋体" w:hAnsi="宋体"/>
                <w:sz w:val="18"/>
                <w:szCs w:val="18"/>
              </w:rPr>
              <w:t>【</w:t>
            </w:r>
            <w:r>
              <w:rPr>
                <w:rFonts w:ascii="宋体" w:hAnsi="宋体"/>
                <w:sz w:val="18"/>
                <w:szCs w:val="18"/>
              </w:rPr>
              <w:t>0.03</w:t>
            </w:r>
            <w:r>
              <w:rPr>
                <w:rFonts w:hint="eastAsia" w:ascii="宋体" w:hAnsi="宋体"/>
                <w:sz w:val="18"/>
                <w:szCs w:val="18"/>
              </w:rPr>
              <w:t>%】</w:t>
            </w:r>
          </w:p>
          <w:p>
            <w:pPr>
              <w:widowControl/>
              <w:spacing w:line="360" w:lineRule="auto"/>
              <w:jc w:val="left"/>
              <w:rPr>
                <w:rFonts w:ascii="宋体" w:hAnsi="宋体"/>
                <w:sz w:val="18"/>
                <w:szCs w:val="18"/>
              </w:rPr>
            </w:pPr>
            <w:r>
              <w:rPr>
                <w:rFonts w:hint="eastAsia" w:ascii="宋体" w:hAnsi="宋体"/>
                <w:sz w:val="18"/>
                <w:szCs w:val="18"/>
              </w:rPr>
              <w:t>7.超额业绩报酬：无</w:t>
            </w:r>
          </w:p>
          <w:p>
            <w:pPr>
              <w:spacing w:line="360" w:lineRule="auto"/>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43"/>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9" w:name="_Toc79154666"/>
      <w:bookmarkStart w:id="80" w:name="_Toc92377132"/>
      <w:bookmarkStart w:id="81" w:name="_Toc28202"/>
      <w:r>
        <w:rPr>
          <w:rFonts w:ascii="Times New Roman"/>
          <w:sz w:val="30"/>
        </w:rPr>
        <w:t>第</w:t>
      </w:r>
      <w:r>
        <w:rPr>
          <w:rFonts w:hint="eastAsia" w:ascii="Times New Roman"/>
          <w:sz w:val="30"/>
        </w:rPr>
        <w:t>三条</w:t>
      </w:r>
      <w:r>
        <w:rPr>
          <w:rFonts w:ascii="Times New Roman"/>
          <w:sz w:val="30"/>
        </w:rPr>
        <w:t xml:space="preserve">  </w:t>
      </w:r>
      <w:bookmarkStart w:id="82" w:name="_Toc79392573"/>
      <w:r>
        <w:rPr>
          <w:rFonts w:hint="eastAsia" w:ascii="Times New Roman"/>
          <w:sz w:val="30"/>
        </w:rPr>
        <w:t>理财产品的认购</w:t>
      </w:r>
      <w:bookmarkEnd w:id="79"/>
      <w:bookmarkEnd w:id="80"/>
      <w:bookmarkEnd w:id="81"/>
    </w:p>
    <w:p>
      <w:pPr>
        <w:spacing w:line="360" w:lineRule="auto"/>
        <w:ind w:firstLine="361" w:firstLineChars="200"/>
        <w:rPr>
          <w:rFonts w:asciiTheme="minorEastAsia" w:hAnsiTheme="minorEastAsia"/>
          <w:b/>
          <w:bCs/>
          <w:sz w:val="18"/>
          <w:szCs w:val="18"/>
        </w:rPr>
      </w:pPr>
      <w:bookmarkStart w:id="83" w:name="_Hlt88031774"/>
      <w:bookmarkEnd w:id="83"/>
      <w:bookmarkStart w:id="8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进入理财运作，不计算理财利益。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43"/>
        <w:spacing w:line="360" w:lineRule="auto"/>
        <w:ind w:left="210" w:leftChars="100" w:firstLine="180"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85" w:name="_Toc25541"/>
      <w:bookmarkStart w:id="86" w:name="_Toc79154667"/>
      <w:bookmarkStart w:id="87" w:name="_Toc92377133"/>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85"/>
      <w:bookmarkEnd w:id="86"/>
      <w:bookmarkEnd w:id="87"/>
    </w:p>
    <w:bookmarkEnd w:id="84"/>
    <w:p>
      <w:pPr>
        <w:spacing w:line="360" w:lineRule="auto"/>
        <w:ind w:firstLine="420" w:firstLineChars="200"/>
      </w:pP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70"/>
        <w:ind w:firstLine="360"/>
      </w:pPr>
      <w:r>
        <w:rPr>
          <w:rFonts w:hint="eastAsia" w:ascii="宋体" w:hAnsi="宋体"/>
          <w:sz w:val="18"/>
          <w:szCs w:val="18"/>
        </w:rPr>
        <w:t>本产品</w:t>
      </w:r>
      <w:r>
        <w:rPr>
          <w:rFonts w:hint="eastAsia" w:asciiTheme="majorEastAsia" w:hAnsiTheme="majorEastAsia" w:eastAsiaTheme="majorEastAsia"/>
          <w:bCs/>
          <w:sz w:val="18"/>
          <w:szCs w:val="18"/>
        </w:rPr>
        <w:t>具体申购时间以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2.申购的方式</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本产品申购确认详见《产品说明书》“第二条 理财产品基本情况”。</w:t>
      </w:r>
    </w:p>
    <w:p>
      <w:pPr>
        <w:pStyle w:val="43"/>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本产品申购费率详见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w:t>
      </w:r>
      <w:r>
        <w:rPr>
          <w:rFonts w:asciiTheme="minorEastAsia" w:hAnsiTheme="minorEastAsia"/>
          <w:bCs/>
          <w:color w:val="auto"/>
          <w:sz w:val="18"/>
          <w:szCs w:val="18"/>
        </w:rPr>
        <w:t>=申购金额/（1+申购费率）</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w:t>
      </w:r>
      <w:r>
        <w:rPr>
          <w:rFonts w:asciiTheme="minorEastAsia" w:hAnsiTheme="minorEastAsia"/>
          <w:bCs/>
          <w:color w:val="auto"/>
          <w:sz w:val="18"/>
          <w:szCs w:val="18"/>
        </w:rPr>
        <w:t>=申购金额－净申购金额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w:t>
      </w:r>
      <w:r>
        <w:rPr>
          <w:rFonts w:asciiTheme="minorEastAsia" w:hAnsiTheme="minorEastAsia"/>
          <w:bCs/>
          <w:color w:val="auto"/>
          <w:sz w:val="18"/>
          <w:szCs w:val="18"/>
        </w:rPr>
        <w:t>=净申购金额/申购日产品份额净值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70"/>
        <w:ind w:firstLine="360"/>
      </w:pPr>
      <w:r>
        <w:rPr>
          <w:rFonts w:hint="eastAsia" w:ascii="宋体" w:hAnsi="宋体"/>
          <w:sz w:val="18"/>
          <w:szCs w:val="18"/>
        </w:rPr>
        <w:t>本产品</w:t>
      </w:r>
      <w:r>
        <w:rPr>
          <w:rFonts w:hint="eastAsia" w:asciiTheme="majorEastAsia" w:hAnsiTheme="majorEastAsia" w:eastAsiaTheme="majorEastAsia"/>
          <w:bCs/>
          <w:sz w:val="18"/>
          <w:szCs w:val="18"/>
        </w:rPr>
        <w:t>具体赎回时间以</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asciiTheme="majorEastAsia" w:hAnsiTheme="majorEastAsia" w:eastAsiaTheme="majorEastAsia"/>
          <w:bCs/>
          <w:sz w:val="18"/>
          <w:szCs w:val="18"/>
        </w:rPr>
        <w:t>为准。</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2.赎回的方式</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本产品赎回确认详见《产品说明书》“第二条 理财产品基本情况”。</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本产品赎回费用详见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w:t>
      </w:r>
      <w:r>
        <w:rPr>
          <w:rFonts w:asciiTheme="majorEastAsia" w:hAnsiTheme="majorEastAsia" w:eastAsiaTheme="majorEastAsia"/>
          <w:color w:val="auto"/>
          <w:sz w:val="18"/>
          <w:szCs w:val="18"/>
        </w:rPr>
        <w:t>=赎回份额×赎回日该产品份额净值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w:t>
      </w:r>
      <w:r>
        <w:rPr>
          <w:rFonts w:asciiTheme="majorEastAsia" w:hAnsiTheme="majorEastAsia" w:eastAsiaTheme="majorEastAsia"/>
          <w:color w:val="auto"/>
          <w:sz w:val="18"/>
          <w:szCs w:val="18"/>
        </w:rPr>
        <w:t>=赎回总金额×该产品份额赎回费率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w:t>
      </w:r>
      <w:r>
        <w:rPr>
          <w:rFonts w:asciiTheme="majorEastAsia" w:hAnsiTheme="majorEastAsia" w:eastAsiaTheme="majorEastAsia"/>
          <w:color w:val="auto"/>
          <w:sz w:val="18"/>
          <w:szCs w:val="18"/>
        </w:rPr>
        <w:t>=赎回总金额-赎回费用</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日交易时间截止</w:t>
      </w:r>
      <w:r>
        <w:rPr>
          <w:rFonts w:asciiTheme="majorEastAsia" w:hAnsiTheme="majorEastAsia" w:eastAsiaTheme="majorEastAsia"/>
          <w:color w:val="auto"/>
          <w:sz w:val="18"/>
          <w:szCs w:val="18"/>
        </w:rPr>
        <w:t>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43"/>
        <w:spacing w:line="360" w:lineRule="auto"/>
        <w:ind w:left="210" w:leftChars="100" w:firstLine="180"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82"/>
    <w:p>
      <w:pPr>
        <w:pStyle w:val="2"/>
        <w:spacing w:before="0" w:after="0" w:line="360" w:lineRule="auto"/>
        <w:jc w:val="center"/>
        <w:rPr>
          <w:rFonts w:ascii="Times New Roman"/>
          <w:sz w:val="30"/>
        </w:rPr>
      </w:pPr>
      <w:bookmarkStart w:id="88" w:name="_Toc90742321"/>
      <w:bookmarkStart w:id="89" w:name="_Toc22074"/>
      <w:bookmarkStart w:id="90" w:name="_Toc15203"/>
      <w:bookmarkStart w:id="91" w:name="_Toc27189"/>
      <w:bookmarkStart w:id="92" w:name="_Toc90742390"/>
      <w:bookmarkStart w:id="93" w:name="_Toc16265"/>
      <w:bookmarkStart w:id="94" w:name="_Toc29948"/>
      <w:bookmarkStart w:id="95" w:name="_Toc29784"/>
      <w:bookmarkStart w:id="96" w:name="_Toc92377134"/>
      <w:bookmarkStart w:id="97" w:name="_Toc6714"/>
      <w:bookmarkStart w:id="98" w:name="_Toc74065741"/>
      <w:bookmarkStart w:id="99" w:name="_Toc79154668"/>
      <w:bookmarkStart w:id="100" w:name="_Toc90742688"/>
      <w:bookmarkStart w:id="101" w:name="_Toc13469"/>
      <w:bookmarkStart w:id="102" w:name="_Toc7151"/>
      <w:bookmarkStart w:id="103" w:name="_Toc27226"/>
      <w:bookmarkStart w:id="104" w:name="_Toc3266"/>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43"/>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（3）国债期货、利率互换、债券借贷。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43"/>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43"/>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每只开放式公募理财产品和每个交易日开放的私募理财产品直接投资于流动性受限资产的市值在开放日不得超过该产品资产净值的15%。每只定期开放式私募理财产品直接投资于流动性受限资产的市值在开放日不得超过该产品资产净值的20%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面向单一投资者发行的私募理财产品可不受前款比例限制。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 xml:space="preserve">（7）每只开放式理财产品每日确认且需当日支付的净赎回申请不超过前一工作日产品7个工作日可变现资产的可变现价值，银保监会另有规定的除外。在开放日前一工作日内，每只开放式理财产品7个工作日可变现资产的可变现价值应当不低于该产品资产净值的10%。 </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面向单一投资者发行的私募理财产品可不受本条规定限制。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（9）本产品投资资产组合久期不超过【5】年。</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（10）本产品投资的各类债券主体（发行人或担保人）或债项评级达到AA级（含）以上。</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bCs/>
          <w:sz w:val="18"/>
          <w:szCs w:val="18"/>
        </w:rPr>
        <w:t xml:space="preserve">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产品管理人不设置业绩比较基准。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产品管理人设置业绩报酬计提基准。</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产品管理人不设置业绩报酬计提基准。</w:t>
      </w:r>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105" w:name="_Toc92377135"/>
      <w:bookmarkStart w:id="106" w:name="_Toc4741"/>
      <w:bookmarkStart w:id="107" w:name="_Toc18329"/>
      <w:bookmarkStart w:id="108" w:name="_Toc26986"/>
      <w:bookmarkStart w:id="109" w:name="_Toc139991735"/>
      <w:bookmarkStart w:id="110" w:name="_Toc141703885"/>
      <w:bookmarkStart w:id="111" w:name="_Toc17912"/>
      <w:bookmarkStart w:id="112" w:name="_Toc7848"/>
      <w:bookmarkStart w:id="113" w:name="_Toc18526"/>
      <w:bookmarkStart w:id="114" w:name="_Toc21988"/>
      <w:bookmarkStart w:id="115" w:name="_Toc1823"/>
      <w:bookmarkStart w:id="116" w:name="_Toc74065742"/>
      <w:bookmarkStart w:id="117" w:name="_Toc10381"/>
      <w:bookmarkStart w:id="118" w:name="_Toc18797"/>
      <w:bookmarkStart w:id="119" w:name="_Toc79154669"/>
      <w:bookmarkStart w:id="120" w:name="_Toc14893"/>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43"/>
        <w:spacing w:line="360" w:lineRule="auto"/>
        <w:ind w:firstLine="361" w:firstLineChars="200"/>
        <w:rPr>
          <w:rFonts w:asciiTheme="majorEastAsia" w:hAnsiTheme="majorEastAsia" w:eastAsiaTheme="majorEastAsia"/>
          <w:b/>
          <w:color w:val="auto"/>
          <w:sz w:val="18"/>
          <w:szCs w:val="18"/>
        </w:rPr>
      </w:pPr>
      <w:bookmarkStart w:id="121" w:name="_Hlk490214295"/>
      <w:r>
        <w:rPr>
          <w:rFonts w:hint="eastAsia" w:asciiTheme="majorEastAsia" w:hAnsiTheme="majorEastAsia" w:eastAsiaTheme="majorEastAsia"/>
          <w:b/>
          <w:color w:val="auto"/>
          <w:sz w:val="18"/>
          <w:szCs w:val="18"/>
        </w:rPr>
        <w:t>（一）理财产品的资产的保管和处分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21"/>
    <w:p>
      <w:pPr>
        <w:pStyle w:val="2"/>
        <w:spacing w:before="0" w:after="0" w:line="360" w:lineRule="auto"/>
        <w:jc w:val="center"/>
        <w:rPr>
          <w:rFonts w:ascii="Times New Roman"/>
          <w:sz w:val="28"/>
          <w:szCs w:val="28"/>
        </w:rPr>
      </w:pPr>
      <w:bookmarkStart w:id="122" w:name="_Toc83391971"/>
      <w:bookmarkStart w:id="123" w:name="_Toc92377136"/>
      <w:bookmarkStart w:id="124" w:name="_Toc26375"/>
      <w:bookmarkStart w:id="125" w:name="_Toc1427"/>
      <w:bookmarkStart w:id="126" w:name="_Toc98560352"/>
      <w:bookmarkStart w:id="127" w:name="_Toc74065743"/>
      <w:bookmarkStart w:id="128" w:name="_Toc48649707"/>
      <w:bookmarkStart w:id="129" w:name="_Toc17244"/>
      <w:bookmarkStart w:id="130" w:name="_Toc23822"/>
      <w:bookmarkStart w:id="131" w:name="_Toc139991736"/>
      <w:bookmarkStart w:id="132" w:name="_Toc1270"/>
      <w:bookmarkStart w:id="133" w:name="_Toc610"/>
      <w:bookmarkStart w:id="134" w:name="_Toc79154670"/>
      <w:bookmarkStart w:id="135" w:name="_Toc10463"/>
      <w:bookmarkStart w:id="136" w:name="_Toc7920"/>
      <w:bookmarkStart w:id="137" w:name="_Toc23261"/>
      <w:bookmarkStart w:id="138" w:name="_Toc123102453"/>
      <w:bookmarkStart w:id="139" w:name="_Toc141703886"/>
      <w:bookmarkStart w:id="140" w:name="_Toc4003"/>
      <w:bookmarkStart w:id="141" w:name="_Toc79392606"/>
      <w:bookmarkStart w:id="142" w:name="_Toc123112234"/>
      <w:bookmarkStart w:id="143" w:name="_Toc123051452"/>
      <w:bookmarkStart w:id="144" w:name="_Toc20733"/>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22"/>
      <w:bookmarkEnd w:id="123"/>
      <w:bookmarkEnd w:id="124"/>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，每个开放日进行一次估值</w:t>
      </w:r>
      <w:r>
        <w:rPr>
          <w:rFonts w:hint="eastAsia" w:asciiTheme="minorEastAsia" w:hAnsiTheme="minorEastAsia" w:eastAsiaTheme="minorEastAsia"/>
          <w:color w:val="2E3033"/>
          <w:sz w:val="18"/>
          <w:szCs w:val="18"/>
        </w:rPr>
        <w:t>。</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43"/>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r>
        <w:rPr>
          <w:rFonts w:hint="eastAsia"/>
        </w:rPr>
        <w:t xml:space="preserve"> </w:t>
      </w:r>
      <w:r>
        <w:rPr>
          <w:rFonts w:hint="eastAsia" w:asciiTheme="minorEastAsia" w:hAnsiTheme="minorEastAsia" w:eastAsiaTheme="minorEastAsia"/>
          <w:color w:val="auto"/>
          <w:sz w:val="18"/>
          <w:szCs w:val="18"/>
        </w:rPr>
        <w:t>当开放式公募理财产品（现金管理类理财产品除外）理财产品遭遇大额申购或赎回时，管理人可以采用摆动定价机制，以确保估值的公平性。具体操作按照相关法律法规、监管规定和自律规则执行。</w:t>
      </w:r>
    </w:p>
    <w:p>
      <w:pPr>
        <w:pStyle w:val="43"/>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43"/>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43"/>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43"/>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43"/>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pStyle w:val="2"/>
        <w:spacing w:before="0" w:after="0" w:line="360" w:lineRule="auto"/>
        <w:ind w:left="60" w:firstLine="10"/>
        <w:jc w:val="center"/>
        <w:rPr>
          <w:rFonts w:ascii="Times New Roman"/>
          <w:sz w:val="30"/>
        </w:rPr>
      </w:pPr>
      <w:bookmarkStart w:id="145" w:name="_Hlt70481650"/>
      <w:bookmarkEnd w:id="145"/>
      <w:bookmarkStart w:id="146" w:name="_Toc31644"/>
      <w:bookmarkStart w:id="147" w:name="_Toc123112235"/>
      <w:bookmarkStart w:id="148" w:name="_Toc29251"/>
      <w:bookmarkStart w:id="149" w:name="_Toc123051453"/>
      <w:bookmarkStart w:id="150" w:name="_Toc12245"/>
      <w:bookmarkStart w:id="151" w:name="_Toc3601"/>
      <w:bookmarkStart w:id="152" w:name="_Toc98560353"/>
      <w:bookmarkStart w:id="153" w:name="_Toc79154671"/>
      <w:bookmarkStart w:id="154" w:name="_Toc141703887"/>
      <w:bookmarkStart w:id="155" w:name="_Toc123102454"/>
      <w:bookmarkStart w:id="156" w:name="_Toc15143"/>
      <w:bookmarkStart w:id="157" w:name="_Toc26207"/>
      <w:bookmarkStart w:id="158" w:name="_Toc139991737"/>
      <w:bookmarkStart w:id="159" w:name="_Toc14835"/>
      <w:bookmarkStart w:id="160" w:name="_Toc31653"/>
      <w:bookmarkStart w:id="161" w:name="_Toc31235"/>
      <w:bookmarkStart w:id="162" w:name="_Toc92377137"/>
      <w:bookmarkStart w:id="163" w:name="_Toc6405"/>
      <w:bookmarkStart w:id="164" w:name="_Toc74065744"/>
      <w:bookmarkStart w:id="165" w:name="_Toc13230"/>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Hlt55355235"/>
      <w:bookmarkEnd w:id="166"/>
      <w:bookmarkStart w:id="167" w:name="_Toc57530239"/>
      <w:bookmarkStart w:id="168" w:name="_Toc15118234"/>
      <w:bookmarkStart w:id="169" w:name="_Toc79392580"/>
      <w:bookmarkStart w:id="170" w:name="_Toc523711668"/>
    </w:p>
    <w:p>
      <w:pPr>
        <w:pStyle w:val="43"/>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43"/>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43"/>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43"/>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43"/>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43"/>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43"/>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43"/>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43"/>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43"/>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167"/>
    <w:bookmarkEnd w:id="168"/>
    <w:bookmarkEnd w:id="169"/>
    <w:bookmarkEnd w:id="170"/>
    <w:p>
      <w:pPr>
        <w:pStyle w:val="2"/>
        <w:spacing w:before="0" w:after="0" w:line="360" w:lineRule="auto"/>
        <w:jc w:val="center"/>
        <w:rPr>
          <w:rFonts w:ascii="Times New Roman"/>
          <w:sz w:val="30"/>
        </w:rPr>
      </w:pPr>
      <w:bookmarkStart w:id="171" w:name="_Hlt88825574"/>
      <w:bookmarkEnd w:id="171"/>
      <w:bookmarkStart w:id="172" w:name="_Hlt88897298"/>
      <w:bookmarkEnd w:id="172"/>
      <w:bookmarkStart w:id="173" w:name="_Toc28842"/>
      <w:bookmarkStart w:id="174" w:name="_Toc6447"/>
      <w:bookmarkStart w:id="175" w:name="_Toc7058"/>
      <w:bookmarkStart w:id="176" w:name="_Toc123112236"/>
      <w:bookmarkStart w:id="177" w:name="_Toc141703888"/>
      <w:bookmarkStart w:id="178" w:name="_Toc9706"/>
      <w:bookmarkStart w:id="179" w:name="_Toc139991738"/>
      <w:bookmarkStart w:id="180" w:name="_Toc74065745"/>
      <w:bookmarkStart w:id="181" w:name="_Toc123102455"/>
      <w:bookmarkStart w:id="182" w:name="_Toc98560354"/>
      <w:bookmarkStart w:id="183" w:name="_Toc92377138"/>
      <w:bookmarkStart w:id="184" w:name="_Toc3771"/>
      <w:bookmarkStart w:id="185" w:name="_Toc10650"/>
      <w:bookmarkStart w:id="186" w:name="_Toc4559"/>
      <w:bookmarkStart w:id="187" w:name="_Toc79154672"/>
      <w:bookmarkStart w:id="188" w:name="_Toc25783"/>
      <w:bookmarkStart w:id="189" w:name="_Toc79392583"/>
      <w:bookmarkStart w:id="190" w:name="_Toc18567"/>
      <w:bookmarkStart w:id="191" w:name="_Toc11030"/>
      <w:bookmarkStart w:id="192" w:name="_Toc3321"/>
      <w:bookmarkStart w:id="193" w:name="_Toc123051454"/>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30"/>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43"/>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每份产品份额在超额业绩报酬计提日时，若理财资产扣除销售服务费、产品托管费和投资管理费等相关费用后，超额业绩报酬计提日产品份额净值折算的年化收益率超过</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③在投资者赎回日提取超额业绩报酬的，超额业绩报酬从赎回资金中扣除；在产品终止日提取超额业绩报酬的，超额业绩报酬从清算资金中扣除；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产品份额超额业绩报酬计提日为投资者赎回日或产品终止日。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，超额业绩报酬=赎回的产品份额或产品终止时投资者持有的产品份额×产品成立日或产品份额申购日的产品份额净值×（R-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若该产品份额持有期间，超额业绩报酬计提规则有所调整，以该产品份额持有期间的每个计提规则分别计算整个份额持有期间应收取的超额业绩报酬数值，以较小的数值来收取超额业绩报酬。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43"/>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43"/>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43"/>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94" w:name="_Toc1745"/>
      <w:bookmarkStart w:id="195" w:name="_Toc3963"/>
      <w:r>
        <w:br w:type="page"/>
      </w:r>
      <w:bookmarkStart w:id="196" w:name="_Toc79154673"/>
      <w:bookmarkStart w:id="197" w:name="_Toc16164"/>
      <w:bookmarkStart w:id="198" w:name="_Toc141703889"/>
      <w:bookmarkStart w:id="199" w:name="_Toc725"/>
      <w:bookmarkStart w:id="200" w:name="_Toc74065746"/>
      <w:bookmarkStart w:id="201" w:name="_Toc123112237"/>
      <w:bookmarkStart w:id="202" w:name="_Toc98560355"/>
      <w:bookmarkStart w:id="203" w:name="_Toc139991739"/>
      <w:bookmarkStart w:id="204" w:name="_Toc31821"/>
      <w:bookmarkStart w:id="205" w:name="_Toc18206"/>
      <w:bookmarkStart w:id="206" w:name="_Toc92377139"/>
      <w:bookmarkStart w:id="207" w:name="_Toc3080"/>
      <w:bookmarkStart w:id="208" w:name="_Toc21735"/>
      <w:bookmarkStart w:id="209" w:name="_Toc123102456"/>
      <w:bookmarkStart w:id="210" w:name="_Toc10398"/>
      <w:bookmarkStart w:id="211" w:name="_Toc3572"/>
      <w:bookmarkStart w:id="212" w:name="_Toc123051455"/>
      <w:bookmarkStart w:id="213" w:name="_Toc24403"/>
      <w:r>
        <w:rPr>
          <w:rFonts w:hint="eastAsia"/>
          <w:sz w:val="30"/>
        </w:rPr>
        <w:t>第十条</w:t>
      </w:r>
      <w:r>
        <w:rPr>
          <w:sz w:val="30"/>
        </w:rPr>
        <w:t xml:space="preserve">  </w:t>
      </w:r>
      <w:r>
        <w:rPr>
          <w:rFonts w:hint="eastAsia"/>
          <w:sz w:val="30"/>
        </w:rPr>
        <w:t>理财产品的终止与清算</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line="360" w:lineRule="auto"/>
        <w:ind w:firstLine="361" w:firstLineChars="200"/>
        <w:rPr>
          <w:rFonts w:asciiTheme="majorEastAsia" w:hAnsiTheme="majorEastAsia" w:eastAsiaTheme="majorEastAsia"/>
          <w:b/>
          <w:bCs/>
          <w:sz w:val="18"/>
          <w:szCs w:val="18"/>
        </w:rPr>
      </w:pPr>
      <w:bookmarkStart w:id="214" w:name="_Toc57530252"/>
      <w:bookmarkStart w:id="215" w:name="_Toc15118245"/>
      <w:bookmarkStart w:id="216"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214"/>
    <w:bookmarkEnd w:id="215"/>
    <w:bookmarkEnd w:id="216"/>
    <w:p>
      <w:pPr>
        <w:pStyle w:val="2"/>
        <w:spacing w:before="0" w:after="0" w:line="360" w:lineRule="auto"/>
        <w:jc w:val="center"/>
        <w:rPr>
          <w:rFonts w:ascii="Times New Roman"/>
          <w:sz w:val="18"/>
          <w:szCs w:val="18"/>
        </w:rPr>
      </w:pPr>
      <w:r>
        <w:rPr>
          <w:rFonts w:ascii="Times New Roman"/>
          <w:b w:val="0"/>
          <w:bCs w:val="0"/>
          <w:kern w:val="2"/>
        </w:rPr>
        <w:br w:type="page"/>
      </w:r>
      <w:bookmarkStart w:id="217" w:name="_Toc14127"/>
      <w:bookmarkStart w:id="218" w:name="_Toc92377140"/>
      <w:bookmarkStart w:id="219" w:name="_Toc123051456"/>
      <w:bookmarkStart w:id="220" w:name="_Toc5170"/>
      <w:bookmarkStart w:id="221" w:name="_Toc83391975"/>
      <w:bookmarkStart w:id="222" w:name="_Toc32584"/>
      <w:bookmarkStart w:id="223" w:name="_Toc48649708"/>
      <w:bookmarkStart w:id="224" w:name="_Toc17198"/>
      <w:bookmarkStart w:id="225" w:name="_Toc739"/>
      <w:bookmarkStart w:id="226" w:name="_Toc98560356"/>
      <w:bookmarkStart w:id="227" w:name="_Toc17920"/>
      <w:bookmarkStart w:id="228" w:name="_Toc74065747"/>
      <w:bookmarkStart w:id="229" w:name="_Toc141703890"/>
      <w:bookmarkStart w:id="230" w:name="_Toc139991740"/>
      <w:bookmarkStart w:id="231" w:name="_Toc123102457"/>
      <w:bookmarkStart w:id="232" w:name="_Toc123112238"/>
      <w:bookmarkStart w:id="233" w:name="_Toc29408"/>
      <w:bookmarkStart w:id="234" w:name="_Toc79392622"/>
      <w:bookmarkStart w:id="235" w:name="_Toc3329"/>
      <w:bookmarkStart w:id="236" w:name="_Toc8791"/>
      <w:bookmarkStart w:id="237" w:name="_Toc21237"/>
      <w:bookmarkStart w:id="238" w:name="_Toc32092"/>
      <w:bookmarkStart w:id="239" w:name="_Toc79154674"/>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7"/>
      <w:bookmarkEnd w:id="218"/>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的产品份额净值、产品份额累计净值、业绩比较基准（如有）、业绩报酬计提基准（如有）等。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bCs/>
          <w:sz w:val="24"/>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sz w:val="24"/>
        </w:rPr>
        <w:br w:type="page"/>
      </w:r>
    </w:p>
    <w:p>
      <w:pPr>
        <w:pStyle w:val="2"/>
        <w:spacing w:before="0" w:after="0" w:line="360" w:lineRule="auto"/>
        <w:jc w:val="center"/>
        <w:rPr>
          <w:rFonts w:ascii="Times New Roman"/>
          <w:b w:val="0"/>
          <w:sz w:val="30"/>
        </w:rPr>
      </w:pPr>
      <w:bookmarkStart w:id="240" w:name="_Toc79154675"/>
      <w:bookmarkStart w:id="241" w:name="_Toc17924"/>
      <w:bookmarkStart w:id="242"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40"/>
      <w:bookmarkEnd w:id="241"/>
      <w:bookmarkEnd w:id="242"/>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（1）投资固定收益类资产的风险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0" w:firstLineChars="200"/>
        <w:rPr>
          <w:rFonts w:ascii="宋体" w:hAnsi="宋体"/>
          <w:sz w:val="18"/>
          <w:szCs w:val="18"/>
        </w:rPr>
      </w:pPr>
      <w:r>
        <w:rPr>
          <w:rFonts w:hint="eastAsia" w:ascii="宋体" w:hAnsi="宋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8.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16.</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黑体" w:hAnsi="黑体" w:eastAsia="黑体"/>
          <w:sz w:val="18"/>
          <w:szCs w:val="18"/>
        </w:rPr>
        <w:t xml:space="preserve"> 关联交易风险</w:t>
      </w: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rPr>
          <w:rFonts w:ascii="黑体" w:hAnsi="黑体" w:eastAsia="黑体"/>
          <w:b/>
          <w:sz w:val="18"/>
          <w:szCs w:val="18"/>
        </w:rPr>
      </w:pPr>
      <w:r>
        <w:rPr>
          <w:rFonts w:hint="eastAsia" w:ascii="黑体" w:hAnsi="黑体" w:eastAsia="黑体"/>
          <w:b/>
          <w:sz w:val="18"/>
          <w:szCs w:val="18"/>
        </w:rPr>
        <w:t>（</w:t>
      </w:r>
      <w:r>
        <w:rPr>
          <w:rFonts w:ascii="黑体" w:hAnsi="黑体" w:eastAsia="黑体"/>
          <w:b/>
          <w:sz w:val="18"/>
          <w:szCs w:val="18"/>
        </w:rPr>
        <w:t>三</w:t>
      </w:r>
      <w:r>
        <w:rPr>
          <w:rFonts w:hint="eastAsia" w:ascii="黑体" w:hAnsi="黑体" w:eastAsia="黑体"/>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43"/>
        <w:spacing w:line="360" w:lineRule="auto"/>
        <w:rPr>
          <w:rFonts w:hAnsi="宋体"/>
          <w:sz w:val="18"/>
          <w:szCs w:val="18"/>
        </w:rPr>
      </w:pPr>
    </w:p>
    <w:p>
      <w:pPr>
        <w:spacing w:line="360" w:lineRule="auto"/>
        <w:jc w:val="left"/>
        <w:rPr>
          <w:rFonts w:hint="eastAsia" w:ascii="宋体" w:hAnsi="宋体"/>
          <w:b/>
          <w:sz w:val="18"/>
          <w:szCs w:val="18"/>
        </w:rPr>
        <w:sectPr>
          <w:headerReference r:id="rId11" w:type="default"/>
          <w:footerReference r:id="rId12"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hint="eastAsia" w:ascii="黑体" w:hAnsi="黑体" w:eastAsia="黑体"/>
          <w:b/>
          <w:sz w:val="28"/>
          <w:szCs w:val="28"/>
          <w:lang w:eastAsia="zh-CN"/>
        </w:rPr>
      </w:pPr>
      <w:r>
        <w:rPr>
          <w:rFonts w:hint="eastAsia" w:ascii="黑体" w:hAnsi="黑体" w:eastAsia="黑体"/>
          <w:b/>
          <w:sz w:val="28"/>
          <w:szCs w:val="28"/>
          <w:lang w:eastAsia="zh-CN"/>
        </w:rPr>
        <w:t>兴银理财【稳添利最短持有期日开固收类】理财产品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24"/>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1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43"/>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1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1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 xml:space="preserve">【 </w:t>
      </w:r>
      <w:r>
        <w:rPr>
          <w:rFonts w:ascii="宋体" w:hAnsi="宋体" w:cs="仿宋_GB2312"/>
          <w:kern w:val="0"/>
          <w:sz w:val="18"/>
          <w:szCs w:val="18"/>
        </w:rPr>
        <w:t xml:space="preserve">                                   </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 xml:space="preserve">等级：【 </w:t>
      </w:r>
      <w:r>
        <w:rPr>
          <w:rFonts w:ascii="宋体" w:hAnsi="宋体" w:cs="仿宋_GB2312"/>
          <w:kern w:val="0"/>
          <w:sz w:val="18"/>
          <w:szCs w:val="18"/>
        </w:rPr>
        <w:t xml:space="preserve">                                </w:t>
      </w:r>
      <w:r>
        <w:rPr>
          <w:rFonts w:hint="eastAsia" w:ascii="宋体" w:hAnsi="宋体" w:cs="仿宋_GB2312"/>
          <w:kern w:val="0"/>
          <w:sz w:val="18"/>
          <w:szCs w:val="18"/>
        </w:rPr>
        <w:t>】。</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43"/>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13" w:type="default"/>
          <w:footerReference r:id="rId14" w:type="default"/>
          <w:pgSz w:w="11906" w:h="16838"/>
          <w:pgMar w:top="1440" w:right="1800" w:bottom="1440" w:left="1800" w:header="851" w:footer="992"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兴银理财【稳添利最短持有期日开固收类】理财产品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兴银理财稳添利【双周盈1号（14天最短持有期）】日开固收类理财产品</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兴银稳添利双周盈1号A（适用【A】类份额）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兴银稳添利双周盈1号B（适用【B】类份额）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兴银稳添利双周盈1号C（适用【C】类份额）</w:t>
      </w:r>
    </w:p>
    <w:p>
      <w:pPr>
        <w:ind w:firstLine="448" w:firstLineChars="249"/>
        <w:rPr>
          <w:rFonts w:ascii="宋体" w:hAnsi="宋体"/>
          <w:bCs/>
          <w:sz w:val="18"/>
          <w:szCs w:val="18"/>
        </w:rPr>
      </w:pPr>
      <w:r>
        <w:rPr>
          <w:rFonts w:hint="eastAsia" w:ascii="宋体" w:hAnsi="宋体"/>
          <w:bCs/>
          <w:sz w:val="18"/>
          <w:szCs w:val="18"/>
        </w:rPr>
        <w:t>兴银稳添利双周盈</w:t>
      </w:r>
      <w:r>
        <w:rPr>
          <w:rFonts w:ascii="宋体" w:hAnsi="宋体"/>
          <w:bCs/>
          <w:sz w:val="18"/>
          <w:szCs w:val="18"/>
        </w:rPr>
        <w:t>1</w:t>
      </w:r>
      <w:r>
        <w:rPr>
          <w:rFonts w:hint="eastAsia" w:ascii="宋体" w:hAnsi="宋体"/>
          <w:bCs/>
          <w:sz w:val="18"/>
          <w:szCs w:val="18"/>
        </w:rPr>
        <w:t>号（工行）（适用【</w:t>
      </w:r>
      <w:r>
        <w:rPr>
          <w:rFonts w:ascii="宋体" w:hAnsi="宋体"/>
          <w:bCs/>
          <w:sz w:val="18"/>
          <w:szCs w:val="18"/>
        </w:rPr>
        <w:t>D</w:t>
      </w:r>
      <w:r>
        <w:rPr>
          <w:rFonts w:hint="eastAsia" w:ascii="宋体" w:hAnsi="宋体"/>
          <w:bCs/>
          <w:sz w:val="18"/>
          <w:szCs w:val="18"/>
        </w:rPr>
        <w:t>】类份额）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兴银稳添利双周盈1号</w:t>
      </w:r>
      <w:r>
        <w:rPr>
          <w:rFonts w:ascii="宋体" w:hAnsi="宋体" w:cs="仿宋_GB2312"/>
          <w:kern w:val="0"/>
          <w:sz w:val="18"/>
          <w:szCs w:val="18"/>
        </w:rPr>
        <w:t>E</w:t>
      </w:r>
      <w:r>
        <w:rPr>
          <w:rFonts w:hint="eastAsia" w:ascii="宋体" w:hAnsi="宋体" w:cs="仿宋_GB2312"/>
          <w:kern w:val="0"/>
          <w:sz w:val="18"/>
          <w:szCs w:val="18"/>
        </w:rPr>
        <w:t>（适用【</w:t>
      </w:r>
      <w:r>
        <w:rPr>
          <w:rFonts w:ascii="宋体" w:hAnsi="宋体" w:cs="仿宋_GB2312"/>
          <w:kern w:val="0"/>
          <w:sz w:val="18"/>
          <w:szCs w:val="18"/>
        </w:rPr>
        <w:t>E</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Z7002022000132</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本理财产品风险评级最终定义为【R2</w:t>
      </w:r>
      <w:r>
        <w:rPr>
          <w:rFonts w:ascii="宋体" w:hAnsi="宋体" w:cs="仿宋_GB2312"/>
          <w:kern w:val="0"/>
          <w:sz w:val="18"/>
          <w:szCs w:val="18"/>
        </w:rPr>
        <w:t>】</w:t>
      </w:r>
      <w:r>
        <w:rPr>
          <w:rFonts w:hint="eastAsia" w:ascii="宋体" w:hAnsi="宋体" w:cs="仿宋_GB2312"/>
          <w:kern w:val="0"/>
          <w:sz w:val="18"/>
          <w:szCs w:val="18"/>
        </w:rPr>
        <w:t>（产品管理人定义的产品风险评级为【R2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；代理销售机构定义的产品风险评级为【R2】）。</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color w:val="000000" w:themeColor="text1"/>
          <w:sz w:val="18"/>
          <w:szCs w:val="18"/>
        </w:rPr>
        <w:t>个人投资者</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C6</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spacing w:line="360" w:lineRule="auto"/>
        <w:ind w:firstLine="360" w:firstLineChars="200"/>
        <w:rPr>
          <w:rFonts w:ascii="宋体" w:hAnsi="宋体"/>
          <w:sz w:val="18"/>
          <w:szCs w:val="18"/>
        </w:rPr>
      </w:pPr>
      <w:r>
        <w:rPr>
          <w:rFonts w:hint="eastAsia" w:ascii="宋体" w:hAnsi="宋体"/>
          <w:sz w:val="18"/>
          <w:szCs w:val="18"/>
        </w:rPr>
        <w:t>（一）投资者投资本产品可能面临的特定风险主要包括（但不限于）：</w:t>
      </w:r>
    </w:p>
    <w:p>
      <w:pPr>
        <w:pStyle w:val="58"/>
        <w:ind w:firstLine="426" w:firstLineChars="0"/>
        <w:rPr>
          <w:rFonts w:ascii="宋体" w:hAnsi="宋体"/>
          <w:sz w:val="18"/>
          <w:szCs w:val="18"/>
        </w:rPr>
      </w:pPr>
      <w:r>
        <w:rPr>
          <w:rFonts w:hint="eastAsia" w:ascii="宋体" w:hAnsi="宋体"/>
          <w:sz w:val="18"/>
          <w:szCs w:val="18"/>
        </w:rPr>
        <w:t>1.拟投资市场和资产的风险：</w:t>
      </w:r>
    </w:p>
    <w:p>
      <w:pPr>
        <w:pStyle w:val="58"/>
        <w:ind w:firstLine="426" w:firstLineChars="0"/>
        <w:rPr>
          <w:rFonts w:ascii="宋体" w:hAnsi="宋体"/>
          <w:sz w:val="18"/>
          <w:szCs w:val="18"/>
        </w:rPr>
      </w:pPr>
      <w:r>
        <w:rPr>
          <w:rFonts w:hint="eastAsia" w:ascii="宋体" w:hAnsi="宋体"/>
          <w:sz w:val="18"/>
          <w:szCs w:val="18"/>
        </w:rPr>
        <w:t>（1）投资固定收益类资产的风险</w:t>
      </w:r>
    </w:p>
    <w:p>
      <w:pPr>
        <w:pStyle w:val="58"/>
        <w:ind w:firstLine="426" w:firstLineChars="0"/>
        <w:rPr>
          <w:rFonts w:ascii="宋体" w:hAnsi="宋体"/>
          <w:sz w:val="18"/>
          <w:szCs w:val="18"/>
        </w:rPr>
      </w:pPr>
      <w:r>
        <w:rPr>
          <w:rFonts w:hint="eastAsia" w:ascii="宋体" w:hAnsi="宋体"/>
          <w:sz w:val="18"/>
          <w:szCs w:val="18"/>
        </w:rPr>
        <w:t>1）投资标准化债权类资产的风险</w:t>
      </w:r>
    </w:p>
    <w:p>
      <w:pPr>
        <w:pStyle w:val="58"/>
        <w:ind w:firstLine="426" w:firstLineChars="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58"/>
        <w:ind w:firstLine="426" w:firstLineChars="0"/>
        <w:rPr>
          <w:rFonts w:ascii="宋体" w:hAnsi="宋体"/>
          <w:sz w:val="18"/>
          <w:szCs w:val="18"/>
        </w:rPr>
      </w:pPr>
      <w:r>
        <w:rPr>
          <w:rFonts w:hint="eastAsia" w:ascii="宋体" w:hAnsi="宋体"/>
          <w:sz w:val="18"/>
          <w:szCs w:val="18"/>
        </w:rPr>
        <w:t xml:space="preserve">（2）投资商品和金融衍生品类资产的风险 </w:t>
      </w:r>
    </w:p>
    <w:p>
      <w:pPr>
        <w:pStyle w:val="58"/>
        <w:ind w:firstLine="426" w:firstLineChars="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58"/>
        <w:ind w:firstLine="426" w:firstLineChars="0"/>
        <w:rPr>
          <w:rFonts w:ascii="宋体" w:hAnsi="宋体"/>
          <w:b/>
          <w:bCs/>
          <w:sz w:val="18"/>
          <w:szCs w:val="18"/>
        </w:rPr>
      </w:pPr>
      <w:r>
        <w:rPr>
          <w:rFonts w:hint="eastAsia" w:ascii="宋体" w:hAnsi="宋体"/>
          <w:b/>
          <w:bCs/>
          <w:sz w:val="18"/>
          <w:szCs w:val="18"/>
        </w:rPr>
        <w:t>★注：以上特定风险仅为列举性质，未能详尽列明投资本产品可能面临的全部风险和可能导致投资者投资本金及收益损失的所有因素。</w:t>
      </w:r>
    </w:p>
    <w:p>
      <w:pPr>
        <w:pStyle w:val="58"/>
        <w:ind w:firstLine="426" w:firstLineChars="0"/>
        <w:rPr>
          <w:rFonts w:ascii="宋体" w:hAnsi="宋体"/>
          <w:sz w:val="18"/>
          <w:szCs w:val="18"/>
        </w:rPr>
      </w:pPr>
      <w:r>
        <w:rPr>
          <w:rFonts w:hint="eastAsia" w:ascii="宋体" w:hAnsi="宋体"/>
          <w:sz w:val="18"/>
          <w:szCs w:val="18"/>
        </w:rPr>
        <w:t xml:space="preserve">（二）投资者投资本产品可能面临的一般风险主要包括（但不限于）： </w:t>
      </w:r>
    </w:p>
    <w:p>
      <w:pPr>
        <w:pStyle w:val="58"/>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58"/>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58"/>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58"/>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58"/>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58"/>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58"/>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58"/>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49"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58"/>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58"/>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58"/>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58"/>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当前述资产管理产品计提业绩报酬时，本理财产品的产品份额净值存在下跌的风险。</w:t>
      </w:r>
    </w:p>
    <w:p>
      <w:pPr>
        <w:pStyle w:val="58"/>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58"/>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58"/>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58"/>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b/>
          <w:sz w:val="18"/>
          <w:szCs w:val="18"/>
        </w:rPr>
      </w:pPr>
      <w:r>
        <w:rPr>
          <w:rFonts w:hint="eastAsia" w:ascii="黑体" w:hAnsi="黑体" w:eastAsia="黑体" w:cs="仿宋_GB2312"/>
          <w:b/>
          <w:kern w:val="0"/>
          <w:sz w:val="18"/>
          <w:szCs w:val="18"/>
        </w:rPr>
        <w:t>（三）</w:t>
      </w:r>
      <w:r>
        <w:rPr>
          <w:rFonts w:hint="eastAsia" w:hAnsi="宋体"/>
          <w:b/>
          <w:sz w:val="18"/>
          <w:szCs w:val="18"/>
        </w:rPr>
        <w:t>★</w:t>
      </w:r>
      <w:r>
        <w:rPr>
          <w:rFonts w:hint="eastAsia" w:ascii="黑体" w:hAnsi="黑体" w:eastAsia="黑体" w:cs="仿宋_GB2312"/>
          <w:b/>
          <w:kern w:val="0"/>
          <w:sz w:val="18"/>
          <w:szCs w:val="18"/>
        </w:rPr>
        <w:t>最不利投资情形下的投资结果示例：</w:t>
      </w:r>
      <w:r>
        <w:rPr>
          <w:rFonts w:hint="eastAsia" w:ascii="黑体" w:hAnsi="黑体" w:eastAsia="黑体"/>
          <w:b/>
          <w:bCs/>
          <w:sz w:val="18"/>
          <w:szCs w:val="18"/>
        </w:rPr>
        <w:t>产品管理人对本产品的理财本金和收益不提供保证承诺，</w:t>
      </w:r>
      <w:r>
        <w:rPr>
          <w:rFonts w:hint="eastAsia" w:ascii="黑体" w:hAnsi="黑体" w:eastAsia="黑体"/>
          <w:b/>
          <w:sz w:val="18"/>
          <w:szCs w:val="18"/>
        </w:rPr>
        <w:t>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25"/>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25"/>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5" w:type="default"/>
          <w:footerReference r:id="rId16" w:type="default"/>
          <w:pgSz w:w="11906" w:h="16838"/>
          <w:pgMar w:top="1440" w:right="1800" w:bottom="1440" w:left="1800" w:header="851" w:footer="992" w:gutter="0"/>
          <w:cols w:space="425" w:num="1"/>
          <w:docGrid w:type="lines" w:linePitch="312" w:charSpace="0"/>
        </w:sectPr>
      </w:pPr>
    </w:p>
    <w:p>
      <w:pPr>
        <w:adjustRightInd w:val="0"/>
        <w:spacing w:line="276" w:lineRule="auto"/>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】以(□ 直销：产品管理人销售/</w:t>
      </w:r>
      <w:r>
        <w:rPr>
          <w:rFonts w:hint="eastAsia" w:asciiTheme="majorEastAsia" w:hAnsiTheme="majorEastAsia" w:eastAsiaTheme="majorEastAsia"/>
          <w:bCs/>
          <w:color w:val="000000" w:themeColor="text1"/>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hint="eastAsia" w:ascii="宋体" w:hAnsi="宋体"/>
          <w:sz w:val="18"/>
          <w:szCs w:val="18"/>
        </w:rPr>
        <w:t>产品管理人</w:t>
      </w:r>
      <w:r>
        <w:rPr>
          <w:rFonts w:ascii="宋体" w:hAnsi="宋体"/>
          <w:sz w:val="18"/>
          <w:szCs w:val="18"/>
        </w:rPr>
        <w:t>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首次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投资者风险承受能力，个人投资者由低至高分为【C1至C</w:t>
      </w:r>
      <w:r>
        <w:rPr>
          <w:rFonts w:ascii="宋体" w:hAnsi="宋体"/>
          <w:sz w:val="18"/>
          <w:szCs w:val="18"/>
        </w:rPr>
        <w:t>6六</w:t>
      </w:r>
      <w:r>
        <w:rPr>
          <w:rFonts w:hint="eastAsia" w:ascii="宋体" w:hAnsi="宋体"/>
          <w:sz w:val="18"/>
          <w:szCs w:val="18"/>
        </w:rPr>
        <w:t>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6</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9"/>
        <w:gridCol w:w="4678"/>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 w:hRule="atLeast"/>
          <w:jc w:val="center"/>
        </w:trPr>
        <w:tc>
          <w:tcPr>
            <w:tcW w:w="939" w:type="dxa"/>
            <w:tcBorders>
              <w:top w:val="single" w:color="auto" w:sz="12" w:space="0"/>
              <w:left w:val="single" w:color="auto" w:sz="12" w:space="0"/>
              <w:right w:val="single" w:color="auto" w:sz="4" w:space="0"/>
            </w:tcBorders>
            <w:vAlign w:val="center"/>
          </w:tcPr>
          <w:p>
            <w:pPr>
              <w:ind w:firstLine="360" w:firstLineChars="200"/>
              <w:rPr>
                <w:rFonts w:ascii="宋体" w:hAnsi="宋体"/>
                <w:sz w:val="18"/>
                <w:szCs w:val="18"/>
              </w:rPr>
            </w:pPr>
            <w:r>
              <w:rPr>
                <w:rFonts w:ascii="宋体" w:hAnsi="宋体"/>
                <w:sz w:val="18"/>
                <w:szCs w:val="18"/>
              </w:rPr>
              <w:t>R1</w:t>
            </w:r>
          </w:p>
        </w:tc>
        <w:tc>
          <w:tcPr>
            <w:tcW w:w="4678" w:type="dxa"/>
            <w:tcBorders>
              <w:top w:val="single" w:color="auto" w:sz="12" w:space="0"/>
              <w:left w:val="single" w:color="auto" w:sz="4"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低风险理财产品。理财产品的总体风险很低，净值波动很小，理财投资本金遭受损失的可能性很低，且产品具有较高的流动性。</w:t>
            </w:r>
          </w:p>
        </w:tc>
        <w:tc>
          <w:tcPr>
            <w:tcW w:w="2865" w:type="dxa"/>
            <w:tcBorders>
              <w:top w:val="single" w:color="auto" w:sz="12" w:space="0"/>
              <w:left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R2</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较低风险理财产品。理财产品的总体风险较低，净值波动较小，理财投资本金遭受损失的可能性较低。</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R3</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中等风险理财产品。理财产品的总体风险适中，净值波动明显，产品本金出现损失的可能性不容忽视。</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R4</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较高风险理财产品。理财产品的总体风险较高，净值波动明显，产品本金出现损失的可能性较高。</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R5</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高风险理财产品。理财产品的总体风险程度高，净值波动明显，产品本金出现重大损失的可能性高。</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C5</w:t>
            </w:r>
            <w:r>
              <w:rPr>
                <w:rFonts w:hint="eastAsia" w:ascii="宋体" w:hAnsi="宋体"/>
                <w:sz w:val="18"/>
                <w:szCs w:val="18"/>
              </w:rPr>
              <w:t>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理财产品的信息披露将通过兴业银行</w:t>
      </w:r>
      <w:r>
        <w:rPr>
          <w:rFonts w:asciiTheme="minorEastAsia" w:hAnsiTheme="minorEastAsia"/>
          <w:sz w:val="18"/>
          <w:szCs w:val="18"/>
        </w:rPr>
        <w:t>或</w:t>
      </w:r>
      <w:r>
        <w:rPr>
          <w:rFonts w:hint="eastAsia" w:asciiTheme="minorEastAsia" w:hAnsiTheme="minorEastAsia"/>
          <w:sz w:val="18"/>
          <w:szCs w:val="18"/>
        </w:rPr>
        <w:t>销售机构</w:t>
      </w:r>
      <w:r>
        <w:rPr>
          <w:rFonts w:hint="eastAsia" w:ascii="宋体" w:hAnsi="宋体"/>
          <w:bCs/>
          <w:sz w:val="18"/>
          <w:szCs w:val="18"/>
        </w:rPr>
        <w:t>的信息披露渠道（包括但不限于兴业</w:t>
      </w:r>
      <w:r>
        <w:rPr>
          <w:rFonts w:ascii="宋体" w:hAnsi="宋体"/>
          <w:bCs/>
          <w:sz w:val="18"/>
          <w:szCs w:val="18"/>
        </w:rPr>
        <w:t>银</w:t>
      </w:r>
      <w:r>
        <w:rPr>
          <w:rFonts w:hint="eastAsia" w:ascii="宋体" w:hAnsi="宋体"/>
          <w:bCs/>
          <w:sz w:val="18"/>
          <w:szCs w:val="18"/>
        </w:rPr>
        <w:t>行或销售机构的营业网点、门户网站、电子销售渠道等）进行。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信息披露条款</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ascii="宋体" w:hAnsi="宋体"/>
          <w:sz w:val="18"/>
          <w:szCs w:val="18"/>
        </w:rPr>
        <w:t>通过</w:t>
      </w:r>
      <w:r>
        <w:rPr>
          <w:rFonts w:hint="eastAsia" w:ascii="宋体" w:hAnsi="宋体"/>
          <w:sz w:val="18"/>
          <w:szCs w:val="18"/>
        </w:rPr>
        <w:t>兴业银行（作为销售机构）购</w:t>
      </w:r>
      <w:r>
        <w:rPr>
          <w:rFonts w:ascii="宋体" w:hAnsi="宋体"/>
          <w:sz w:val="18"/>
          <w:szCs w:val="18"/>
        </w:rPr>
        <w:t>买本产品的请联系兴业银行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首次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  】</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 xml:space="preserve"> </w:t>
      </w: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spacing w:line="280" w:lineRule="atLeast"/>
        <w:jc w:val="left"/>
        <w:rPr>
          <w:rFonts w:ascii="仿宋_GB2312" w:eastAsia="仿宋_GB2312" w:cs="仿宋_GB2312"/>
          <w:color w:val="000000"/>
          <w:kern w:val="0"/>
          <w:sz w:val="24"/>
          <w:szCs w:val="24"/>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jc w:val="right"/>
        <w:rPr>
          <w:rFonts w:ascii="宋体" w:hAnsi="宋体"/>
          <w:sz w:val="18"/>
          <w:szCs w:val="18"/>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
      <w:pPr>
        <w:spacing w:line="360" w:lineRule="auto"/>
        <w:jc w:val="left"/>
        <w:rPr>
          <w:rFonts w:hint="eastAsia" w:ascii="宋体" w:hAnsi="宋体"/>
          <w:b/>
          <w:sz w:val="18"/>
          <w:szCs w:val="18"/>
        </w:rPr>
      </w:pPr>
    </w:p>
    <w:sectPr>
      <w:headerReference r:id="rId17" w:type="default"/>
      <w:footerReference r:id="rId1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Sign">
    <w:panose1 w:val="05050102010706020507"/>
    <w:charset w:val="00"/>
    <w:family w:val="auto"/>
    <w:pitch w:val="default"/>
    <w:sig w:usb0="00000000" w:usb1="00000000" w:usb2="00000000" w:usb3="00000000" w:csb0="80000000" w:csb1="00000000"/>
  </w:font>
  <w:font w:name="Calibri Light">
    <w:altName w:val="Arial"/>
    <w:panose1 w:val="020F0302020204030204"/>
    <w:charset w:val="00"/>
    <w:family w:val="swiss"/>
    <w:pitch w:val="default"/>
    <w:sig w:usb0="00000000" w:usb1="00000000" w:usb2="00000009" w:usb3="00000000" w:csb0="200001FF"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6</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6</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9</w:t>
        </w:r>
        <w:r>
          <w:fldChar w:fldCharType="end"/>
        </w:r>
      </w:p>
    </w:sdtContent>
  </w:sdt>
  <w:p>
    <w:pPr>
      <w:pStyle w:val="8"/>
      <w:jc w:val="both"/>
      <w:rPr>
        <w:rFonts w:ascii="黑体" w:hAnsi="黑体" w:eastAsia="黑体"/>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14"/>
          <w:jc w:val="center"/>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15"/>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1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投资者权益须知</w:t>
    </w:r>
  </w:p>
  <w:p>
    <w:pPr>
      <w:pStyle w:val="15"/>
      <w:pBdr>
        <w:bottom w:val="thickThinLargeGap" w:color="auto" w:sz="24" w:space="10"/>
      </w:pBdr>
      <w:tabs>
        <w:tab w:val="right" w:pos="8280"/>
      </w:tabs>
      <w:wordWrap w:val="0"/>
      <w:adjustRightInd w:val="0"/>
      <w:ind w:firstLine="180" w:firstLineChars="10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172D"/>
    <w:rsid w:val="00012205"/>
    <w:rsid w:val="0001389C"/>
    <w:rsid w:val="000141A7"/>
    <w:rsid w:val="000209B7"/>
    <w:rsid w:val="00021451"/>
    <w:rsid w:val="000215C7"/>
    <w:rsid w:val="00021BF7"/>
    <w:rsid w:val="00023F0A"/>
    <w:rsid w:val="0002724F"/>
    <w:rsid w:val="00030239"/>
    <w:rsid w:val="0003198D"/>
    <w:rsid w:val="00032F2C"/>
    <w:rsid w:val="000345D6"/>
    <w:rsid w:val="000365A1"/>
    <w:rsid w:val="0004166F"/>
    <w:rsid w:val="00042221"/>
    <w:rsid w:val="00042E95"/>
    <w:rsid w:val="00045C60"/>
    <w:rsid w:val="00045FF7"/>
    <w:rsid w:val="00055256"/>
    <w:rsid w:val="00055E1D"/>
    <w:rsid w:val="00060AA2"/>
    <w:rsid w:val="0006286C"/>
    <w:rsid w:val="00063E11"/>
    <w:rsid w:val="00065143"/>
    <w:rsid w:val="00067E29"/>
    <w:rsid w:val="000743FD"/>
    <w:rsid w:val="0007676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5A7D"/>
    <w:rsid w:val="00116696"/>
    <w:rsid w:val="00117923"/>
    <w:rsid w:val="00123583"/>
    <w:rsid w:val="001249B1"/>
    <w:rsid w:val="00124ADF"/>
    <w:rsid w:val="001256B2"/>
    <w:rsid w:val="00125A39"/>
    <w:rsid w:val="00136F50"/>
    <w:rsid w:val="00145951"/>
    <w:rsid w:val="00145FB3"/>
    <w:rsid w:val="00150F88"/>
    <w:rsid w:val="00151C5F"/>
    <w:rsid w:val="00153821"/>
    <w:rsid w:val="00153A6A"/>
    <w:rsid w:val="0015605F"/>
    <w:rsid w:val="00156B9B"/>
    <w:rsid w:val="00166F3C"/>
    <w:rsid w:val="001676C5"/>
    <w:rsid w:val="001719A6"/>
    <w:rsid w:val="00172A27"/>
    <w:rsid w:val="001739F3"/>
    <w:rsid w:val="00176250"/>
    <w:rsid w:val="001767D5"/>
    <w:rsid w:val="00180944"/>
    <w:rsid w:val="00181F8E"/>
    <w:rsid w:val="00183919"/>
    <w:rsid w:val="00184F16"/>
    <w:rsid w:val="001913D5"/>
    <w:rsid w:val="0019368D"/>
    <w:rsid w:val="001A0DEE"/>
    <w:rsid w:val="001A331C"/>
    <w:rsid w:val="001A3B4F"/>
    <w:rsid w:val="001B3D1B"/>
    <w:rsid w:val="001C2E83"/>
    <w:rsid w:val="001C5549"/>
    <w:rsid w:val="001C5FB8"/>
    <w:rsid w:val="001C627B"/>
    <w:rsid w:val="001C6A43"/>
    <w:rsid w:val="001D33CF"/>
    <w:rsid w:val="001D5339"/>
    <w:rsid w:val="001D5DA7"/>
    <w:rsid w:val="001D6D21"/>
    <w:rsid w:val="001E09D0"/>
    <w:rsid w:val="001E0B5B"/>
    <w:rsid w:val="001E22BC"/>
    <w:rsid w:val="001E4956"/>
    <w:rsid w:val="001E604C"/>
    <w:rsid w:val="001E7309"/>
    <w:rsid w:val="001F0442"/>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73D3"/>
    <w:rsid w:val="00241D65"/>
    <w:rsid w:val="00244658"/>
    <w:rsid w:val="00246158"/>
    <w:rsid w:val="002464CF"/>
    <w:rsid w:val="00246E81"/>
    <w:rsid w:val="002476E6"/>
    <w:rsid w:val="00252015"/>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B66DC"/>
    <w:rsid w:val="002C13C1"/>
    <w:rsid w:val="002C27E7"/>
    <w:rsid w:val="002C3012"/>
    <w:rsid w:val="002C7D8E"/>
    <w:rsid w:val="002D121A"/>
    <w:rsid w:val="002D407E"/>
    <w:rsid w:val="002E0E0E"/>
    <w:rsid w:val="002E2C93"/>
    <w:rsid w:val="002E388A"/>
    <w:rsid w:val="002E4681"/>
    <w:rsid w:val="002E6E2C"/>
    <w:rsid w:val="002F1BB8"/>
    <w:rsid w:val="002F1C19"/>
    <w:rsid w:val="002F228E"/>
    <w:rsid w:val="002F3164"/>
    <w:rsid w:val="002F354F"/>
    <w:rsid w:val="002F467D"/>
    <w:rsid w:val="002F5D80"/>
    <w:rsid w:val="002F6D00"/>
    <w:rsid w:val="002F7889"/>
    <w:rsid w:val="003018A8"/>
    <w:rsid w:val="003052A7"/>
    <w:rsid w:val="00306441"/>
    <w:rsid w:val="003161C7"/>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071"/>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1B14"/>
    <w:rsid w:val="004132EA"/>
    <w:rsid w:val="004134A1"/>
    <w:rsid w:val="00414562"/>
    <w:rsid w:val="0042301D"/>
    <w:rsid w:val="00423612"/>
    <w:rsid w:val="00424866"/>
    <w:rsid w:val="00426FD8"/>
    <w:rsid w:val="004318D1"/>
    <w:rsid w:val="00431E1F"/>
    <w:rsid w:val="00433900"/>
    <w:rsid w:val="00435E5C"/>
    <w:rsid w:val="00436CF2"/>
    <w:rsid w:val="00437361"/>
    <w:rsid w:val="00444664"/>
    <w:rsid w:val="00444AD5"/>
    <w:rsid w:val="00445CFA"/>
    <w:rsid w:val="00446E41"/>
    <w:rsid w:val="00446FBB"/>
    <w:rsid w:val="0045304A"/>
    <w:rsid w:val="004530E2"/>
    <w:rsid w:val="0045487E"/>
    <w:rsid w:val="0045508F"/>
    <w:rsid w:val="00460B00"/>
    <w:rsid w:val="00467615"/>
    <w:rsid w:val="004727C4"/>
    <w:rsid w:val="00477E43"/>
    <w:rsid w:val="00481A9B"/>
    <w:rsid w:val="00483EB5"/>
    <w:rsid w:val="004875C3"/>
    <w:rsid w:val="004918BC"/>
    <w:rsid w:val="00493B96"/>
    <w:rsid w:val="004946EF"/>
    <w:rsid w:val="004973D1"/>
    <w:rsid w:val="004A1E54"/>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D117B"/>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6024C"/>
    <w:rsid w:val="005602FE"/>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2B7"/>
    <w:rsid w:val="006B7502"/>
    <w:rsid w:val="006C1201"/>
    <w:rsid w:val="006C14BB"/>
    <w:rsid w:val="006C7443"/>
    <w:rsid w:val="006D1109"/>
    <w:rsid w:val="006D4A61"/>
    <w:rsid w:val="006D6CDD"/>
    <w:rsid w:val="006D7EB4"/>
    <w:rsid w:val="006E07CD"/>
    <w:rsid w:val="006E4978"/>
    <w:rsid w:val="006F08E6"/>
    <w:rsid w:val="006F0FA1"/>
    <w:rsid w:val="006F1407"/>
    <w:rsid w:val="006F159D"/>
    <w:rsid w:val="006F3061"/>
    <w:rsid w:val="006F35E0"/>
    <w:rsid w:val="006F4C91"/>
    <w:rsid w:val="006F6966"/>
    <w:rsid w:val="006F6C9E"/>
    <w:rsid w:val="007003CA"/>
    <w:rsid w:val="00705A9A"/>
    <w:rsid w:val="00705AB8"/>
    <w:rsid w:val="00716497"/>
    <w:rsid w:val="00720B3A"/>
    <w:rsid w:val="007216E0"/>
    <w:rsid w:val="007219F7"/>
    <w:rsid w:val="00726D7A"/>
    <w:rsid w:val="00731391"/>
    <w:rsid w:val="00731CC4"/>
    <w:rsid w:val="0073299F"/>
    <w:rsid w:val="00734BC4"/>
    <w:rsid w:val="007369E8"/>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1572"/>
    <w:rsid w:val="00833DA0"/>
    <w:rsid w:val="00837439"/>
    <w:rsid w:val="0084117B"/>
    <w:rsid w:val="00842ECC"/>
    <w:rsid w:val="00844C52"/>
    <w:rsid w:val="00844FAC"/>
    <w:rsid w:val="00847D06"/>
    <w:rsid w:val="008526AD"/>
    <w:rsid w:val="00852A74"/>
    <w:rsid w:val="00853C9B"/>
    <w:rsid w:val="0085467A"/>
    <w:rsid w:val="00855E29"/>
    <w:rsid w:val="00856912"/>
    <w:rsid w:val="00862721"/>
    <w:rsid w:val="00863B57"/>
    <w:rsid w:val="00870710"/>
    <w:rsid w:val="00871266"/>
    <w:rsid w:val="00871450"/>
    <w:rsid w:val="008739A5"/>
    <w:rsid w:val="00880932"/>
    <w:rsid w:val="00895DC9"/>
    <w:rsid w:val="008A3830"/>
    <w:rsid w:val="008A5426"/>
    <w:rsid w:val="008A6706"/>
    <w:rsid w:val="008B0B17"/>
    <w:rsid w:val="008B1FC9"/>
    <w:rsid w:val="008B20D2"/>
    <w:rsid w:val="008B3D15"/>
    <w:rsid w:val="008B4562"/>
    <w:rsid w:val="008B5D1E"/>
    <w:rsid w:val="008B60CD"/>
    <w:rsid w:val="008B64A4"/>
    <w:rsid w:val="008C1F51"/>
    <w:rsid w:val="008C41BB"/>
    <w:rsid w:val="008C4E5E"/>
    <w:rsid w:val="008C77FD"/>
    <w:rsid w:val="008D0202"/>
    <w:rsid w:val="008D0B1A"/>
    <w:rsid w:val="008D1177"/>
    <w:rsid w:val="008D43FD"/>
    <w:rsid w:val="008E5137"/>
    <w:rsid w:val="008E5682"/>
    <w:rsid w:val="008E67DB"/>
    <w:rsid w:val="008E6FBA"/>
    <w:rsid w:val="008F0E09"/>
    <w:rsid w:val="008F14E7"/>
    <w:rsid w:val="008F24C8"/>
    <w:rsid w:val="00905340"/>
    <w:rsid w:val="0090798A"/>
    <w:rsid w:val="00907AEC"/>
    <w:rsid w:val="00911B78"/>
    <w:rsid w:val="009122AA"/>
    <w:rsid w:val="00914791"/>
    <w:rsid w:val="0091725B"/>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820"/>
    <w:rsid w:val="00983DF9"/>
    <w:rsid w:val="00987518"/>
    <w:rsid w:val="009917A6"/>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03FC7"/>
    <w:rsid w:val="00A11CB0"/>
    <w:rsid w:val="00A125BC"/>
    <w:rsid w:val="00A17171"/>
    <w:rsid w:val="00A205B4"/>
    <w:rsid w:val="00A20F62"/>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28A8"/>
    <w:rsid w:val="00AB633E"/>
    <w:rsid w:val="00AB7231"/>
    <w:rsid w:val="00AB7FE4"/>
    <w:rsid w:val="00AC18A8"/>
    <w:rsid w:val="00AC3CEC"/>
    <w:rsid w:val="00AC4A57"/>
    <w:rsid w:val="00AD4F90"/>
    <w:rsid w:val="00AD57C7"/>
    <w:rsid w:val="00AD74DA"/>
    <w:rsid w:val="00AD7F32"/>
    <w:rsid w:val="00AE3332"/>
    <w:rsid w:val="00AE4780"/>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431B"/>
    <w:rsid w:val="00B3762A"/>
    <w:rsid w:val="00B4101D"/>
    <w:rsid w:val="00B41509"/>
    <w:rsid w:val="00B43375"/>
    <w:rsid w:val="00B52FAD"/>
    <w:rsid w:val="00B56276"/>
    <w:rsid w:val="00B606E5"/>
    <w:rsid w:val="00B606E6"/>
    <w:rsid w:val="00B61A35"/>
    <w:rsid w:val="00B66F01"/>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E98"/>
    <w:rsid w:val="00BC4611"/>
    <w:rsid w:val="00BC68AA"/>
    <w:rsid w:val="00BD020C"/>
    <w:rsid w:val="00BD0D17"/>
    <w:rsid w:val="00BD4663"/>
    <w:rsid w:val="00BD6425"/>
    <w:rsid w:val="00BE4092"/>
    <w:rsid w:val="00BF0849"/>
    <w:rsid w:val="00BF33D6"/>
    <w:rsid w:val="00BF3E98"/>
    <w:rsid w:val="00C00374"/>
    <w:rsid w:val="00C02553"/>
    <w:rsid w:val="00C02E9B"/>
    <w:rsid w:val="00C041E1"/>
    <w:rsid w:val="00C07640"/>
    <w:rsid w:val="00C10A0B"/>
    <w:rsid w:val="00C11510"/>
    <w:rsid w:val="00C12A4D"/>
    <w:rsid w:val="00C133AC"/>
    <w:rsid w:val="00C149B9"/>
    <w:rsid w:val="00C16ED4"/>
    <w:rsid w:val="00C17007"/>
    <w:rsid w:val="00C226AB"/>
    <w:rsid w:val="00C266C0"/>
    <w:rsid w:val="00C27CD2"/>
    <w:rsid w:val="00C320BC"/>
    <w:rsid w:val="00C32A5C"/>
    <w:rsid w:val="00C348DE"/>
    <w:rsid w:val="00C349B7"/>
    <w:rsid w:val="00C3641F"/>
    <w:rsid w:val="00C40580"/>
    <w:rsid w:val="00C4092B"/>
    <w:rsid w:val="00C4198D"/>
    <w:rsid w:val="00C41A12"/>
    <w:rsid w:val="00C41D76"/>
    <w:rsid w:val="00C46269"/>
    <w:rsid w:val="00C5061E"/>
    <w:rsid w:val="00C527BF"/>
    <w:rsid w:val="00C550E2"/>
    <w:rsid w:val="00C561B4"/>
    <w:rsid w:val="00C569F3"/>
    <w:rsid w:val="00C57F3A"/>
    <w:rsid w:val="00C6524D"/>
    <w:rsid w:val="00C6577D"/>
    <w:rsid w:val="00C66942"/>
    <w:rsid w:val="00C80014"/>
    <w:rsid w:val="00C90BFF"/>
    <w:rsid w:val="00C9379A"/>
    <w:rsid w:val="00C95DF3"/>
    <w:rsid w:val="00C97D8A"/>
    <w:rsid w:val="00C97F28"/>
    <w:rsid w:val="00CA42AB"/>
    <w:rsid w:val="00CA504C"/>
    <w:rsid w:val="00CA767B"/>
    <w:rsid w:val="00CB118D"/>
    <w:rsid w:val="00CB24A2"/>
    <w:rsid w:val="00CC153D"/>
    <w:rsid w:val="00CC5DA1"/>
    <w:rsid w:val="00CD1A38"/>
    <w:rsid w:val="00CD1ED6"/>
    <w:rsid w:val="00CD4530"/>
    <w:rsid w:val="00CE04EA"/>
    <w:rsid w:val="00CE21A3"/>
    <w:rsid w:val="00CE3D7D"/>
    <w:rsid w:val="00CE5271"/>
    <w:rsid w:val="00CF07E7"/>
    <w:rsid w:val="00CF20EC"/>
    <w:rsid w:val="00D044FA"/>
    <w:rsid w:val="00D06A40"/>
    <w:rsid w:val="00D07F3D"/>
    <w:rsid w:val="00D11889"/>
    <w:rsid w:val="00D143FA"/>
    <w:rsid w:val="00D14989"/>
    <w:rsid w:val="00D1696F"/>
    <w:rsid w:val="00D200E4"/>
    <w:rsid w:val="00D246C7"/>
    <w:rsid w:val="00D330E4"/>
    <w:rsid w:val="00D354C6"/>
    <w:rsid w:val="00D4074A"/>
    <w:rsid w:val="00D4395E"/>
    <w:rsid w:val="00D44376"/>
    <w:rsid w:val="00D4445B"/>
    <w:rsid w:val="00D501A2"/>
    <w:rsid w:val="00D50C49"/>
    <w:rsid w:val="00D51521"/>
    <w:rsid w:val="00D515DA"/>
    <w:rsid w:val="00D57FB6"/>
    <w:rsid w:val="00D62BAC"/>
    <w:rsid w:val="00D66F78"/>
    <w:rsid w:val="00D705DA"/>
    <w:rsid w:val="00D77ADC"/>
    <w:rsid w:val="00D77F0D"/>
    <w:rsid w:val="00D81FE7"/>
    <w:rsid w:val="00D82893"/>
    <w:rsid w:val="00D8308D"/>
    <w:rsid w:val="00D833EB"/>
    <w:rsid w:val="00D837CC"/>
    <w:rsid w:val="00D92526"/>
    <w:rsid w:val="00D9748A"/>
    <w:rsid w:val="00DA43E0"/>
    <w:rsid w:val="00DA5A27"/>
    <w:rsid w:val="00DA6E0E"/>
    <w:rsid w:val="00DA78A9"/>
    <w:rsid w:val="00DA7A2B"/>
    <w:rsid w:val="00DB201C"/>
    <w:rsid w:val="00DB2DB0"/>
    <w:rsid w:val="00DB3857"/>
    <w:rsid w:val="00DB44A2"/>
    <w:rsid w:val="00DC0F23"/>
    <w:rsid w:val="00DC18EE"/>
    <w:rsid w:val="00DC2771"/>
    <w:rsid w:val="00DC295F"/>
    <w:rsid w:val="00DC3C57"/>
    <w:rsid w:val="00DC40E4"/>
    <w:rsid w:val="00DC7C02"/>
    <w:rsid w:val="00DD2FE5"/>
    <w:rsid w:val="00DD6FE7"/>
    <w:rsid w:val="00DF3437"/>
    <w:rsid w:val="00DF3F05"/>
    <w:rsid w:val="00DF6B27"/>
    <w:rsid w:val="00DF749F"/>
    <w:rsid w:val="00DF7FC5"/>
    <w:rsid w:val="00E03447"/>
    <w:rsid w:val="00E03ECE"/>
    <w:rsid w:val="00E0477B"/>
    <w:rsid w:val="00E072D2"/>
    <w:rsid w:val="00E12287"/>
    <w:rsid w:val="00E1770C"/>
    <w:rsid w:val="00E22677"/>
    <w:rsid w:val="00E23CB4"/>
    <w:rsid w:val="00E23CE7"/>
    <w:rsid w:val="00E3045C"/>
    <w:rsid w:val="00E30CD1"/>
    <w:rsid w:val="00E323CD"/>
    <w:rsid w:val="00E34CBA"/>
    <w:rsid w:val="00E35DA5"/>
    <w:rsid w:val="00E36F2B"/>
    <w:rsid w:val="00E37E1A"/>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5C7"/>
    <w:rsid w:val="00ED2BA5"/>
    <w:rsid w:val="00ED3882"/>
    <w:rsid w:val="00ED3E6B"/>
    <w:rsid w:val="00ED5759"/>
    <w:rsid w:val="00EE183A"/>
    <w:rsid w:val="00EE263C"/>
    <w:rsid w:val="00EE3D96"/>
    <w:rsid w:val="00EE7357"/>
    <w:rsid w:val="00EF191E"/>
    <w:rsid w:val="00EF4162"/>
    <w:rsid w:val="00EF6103"/>
    <w:rsid w:val="00F00C67"/>
    <w:rsid w:val="00F0469D"/>
    <w:rsid w:val="00F046EC"/>
    <w:rsid w:val="00F0558F"/>
    <w:rsid w:val="00F05739"/>
    <w:rsid w:val="00F0768A"/>
    <w:rsid w:val="00F07962"/>
    <w:rsid w:val="00F104F1"/>
    <w:rsid w:val="00F12096"/>
    <w:rsid w:val="00F12A59"/>
    <w:rsid w:val="00F12E33"/>
    <w:rsid w:val="00F1386E"/>
    <w:rsid w:val="00F14579"/>
    <w:rsid w:val="00F16B95"/>
    <w:rsid w:val="00F16D1C"/>
    <w:rsid w:val="00F2211E"/>
    <w:rsid w:val="00F23DF7"/>
    <w:rsid w:val="00F243AF"/>
    <w:rsid w:val="00F33834"/>
    <w:rsid w:val="00F34661"/>
    <w:rsid w:val="00F3550C"/>
    <w:rsid w:val="00F4075D"/>
    <w:rsid w:val="00F41743"/>
    <w:rsid w:val="00F43CC2"/>
    <w:rsid w:val="00F45279"/>
    <w:rsid w:val="00F45D4D"/>
    <w:rsid w:val="00F477AD"/>
    <w:rsid w:val="00F4787A"/>
    <w:rsid w:val="00F54677"/>
    <w:rsid w:val="00F55612"/>
    <w:rsid w:val="00F56998"/>
    <w:rsid w:val="00F611C6"/>
    <w:rsid w:val="00F640CB"/>
    <w:rsid w:val="00F652FF"/>
    <w:rsid w:val="00F6638A"/>
    <w:rsid w:val="00F6673D"/>
    <w:rsid w:val="00F6765C"/>
    <w:rsid w:val="00F7607C"/>
    <w:rsid w:val="00F845DD"/>
    <w:rsid w:val="00F84ACA"/>
    <w:rsid w:val="00F865A9"/>
    <w:rsid w:val="00F8733E"/>
    <w:rsid w:val="00F913B7"/>
    <w:rsid w:val="00F91EA4"/>
    <w:rsid w:val="00F92464"/>
    <w:rsid w:val="00FA07AA"/>
    <w:rsid w:val="00FA10AA"/>
    <w:rsid w:val="00FA2F7C"/>
    <w:rsid w:val="00FA3BF1"/>
    <w:rsid w:val="00FB0D3D"/>
    <w:rsid w:val="00FB166A"/>
    <w:rsid w:val="00FB7721"/>
    <w:rsid w:val="00FC5827"/>
    <w:rsid w:val="00FC64D6"/>
    <w:rsid w:val="00FC6768"/>
    <w:rsid w:val="00FD08DF"/>
    <w:rsid w:val="00FD4E32"/>
    <w:rsid w:val="00FD771E"/>
    <w:rsid w:val="00FD7F16"/>
    <w:rsid w:val="00FE1886"/>
    <w:rsid w:val="00FE2B6B"/>
    <w:rsid w:val="00FE441D"/>
    <w:rsid w:val="00FF0956"/>
    <w:rsid w:val="00FF43B8"/>
    <w:rsid w:val="00FF46EE"/>
    <w:rsid w:val="0EC469F2"/>
    <w:rsid w:val="149E474A"/>
    <w:rsid w:val="2EF72C58"/>
    <w:rsid w:val="35C863A1"/>
    <w:rsid w:val="45F574B3"/>
    <w:rsid w:val="4F9B33E8"/>
    <w:rsid w:val="522B18F8"/>
    <w:rsid w:val="5EF52D1E"/>
    <w:rsid w:val="626F56C0"/>
    <w:rsid w:val="648448DA"/>
    <w:rsid w:val="6AAF1C3F"/>
    <w:rsid w:val="6F164A7D"/>
    <w:rsid w:val="FAFB6D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修订2"/>
    <w:hidden/>
    <w:semiHidden/>
    <w:qFormat/>
    <w:uiPriority w:val="99"/>
    <w:rPr>
      <w:rFonts w:ascii="Times New Roman" w:hAnsi="Times New Roman" w:eastAsia="宋体" w:cs="Times New Roman"/>
      <w:kern w:val="2"/>
      <w:sz w:val="21"/>
      <w:lang w:val="en-US" w:eastAsia="zh-CN" w:bidi="ar-SA"/>
    </w:rPr>
  </w:style>
  <w:style w:type="paragraph" w:customStyle="1" w:styleId="6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70">
    <w:name w:val="正文2"/>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E7FF-05A2-4618-BA40-AA58E7F46872}">
  <ds:schemaRefs/>
</ds:datastoreItem>
</file>

<file path=docProps/app.xml><?xml version="1.0" encoding="utf-8"?>
<Properties xmlns="http://schemas.openxmlformats.org/officeDocument/2006/extended-properties" xmlns:vt="http://schemas.openxmlformats.org/officeDocument/2006/docPropsVTypes">
  <Company>Microsoft</Company>
  <Pages>1</Pages>
  <Words>1546</Words>
  <Characters>8816</Characters>
  <Lines>73</Lines>
  <Paragraphs>20</Paragraphs>
  <TotalTime>1</TotalTime>
  <ScaleCrop>false</ScaleCrop>
  <LinksUpToDate>false</LinksUpToDate>
  <CharactersWithSpaces>10342</CharactersWithSpaces>
  <Application>WPS Office WWO_wpscloud_20230531140910-210057a9e5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2021-03-29T09:33:00Z</dcterms:created>
  <dc:creator>Mandy.Z</dc:creator>
  <cp:lastModifiedBy>Administrator</cp:lastModifiedBy>
  <cp:lastPrinted>2017-10-31T14:33:00Z</cp:lastPrinted>
  <dcterms:modified xsi:type="dcterms:W3CDTF">2023-10-31T11:11:00Z</dcterms:modified>
  <dc:title>___证券投资基金招募说明书1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C166FDD168F74BAFB715BD6389AD620E</vt:lpwstr>
  </property>
</Properties>
</file>