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bookmarkStart w:id="243" w:name="_GoBack"/>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兴银理财【稳添利最短持有期日开固收类】理财产品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812"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84"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812" w:type="dxa"/>
          </w:tcPr>
          <w:p>
            <w:pPr>
              <w:widowControl/>
              <w:spacing w:line="360" w:lineRule="auto"/>
              <w:rPr>
                <w:rFonts w:ascii="宋体" w:hAnsi="宋体"/>
                <w:szCs w:val="21"/>
              </w:rPr>
            </w:pPr>
            <w:r>
              <w:rPr>
                <w:rFonts w:hint="eastAsia" w:ascii="宋体" w:hAnsi="宋体"/>
                <w:kern w:val="0"/>
                <w:sz w:val="20"/>
                <w:szCs w:val="21"/>
              </w:rPr>
              <w:t>兴银理财【稳添利最短持有期日开固收类】理财产品投资协议书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812" w:type="dxa"/>
          </w:tcPr>
          <w:p>
            <w:pPr>
              <w:widowControl/>
              <w:spacing w:line="360" w:lineRule="auto"/>
              <w:rPr>
                <w:rFonts w:ascii="宋体" w:hAnsi="宋体"/>
                <w:szCs w:val="21"/>
              </w:rPr>
            </w:pPr>
            <w:r>
              <w:rPr>
                <w:rFonts w:hint="eastAsia" w:ascii="宋体" w:hAnsi="宋体"/>
                <w:kern w:val="0"/>
                <w:sz w:val="20"/>
                <w:szCs w:val="21"/>
              </w:rPr>
              <w:t>兴银理财【稳添利最短持有期日开固收类】理财产品产品说明书</w:t>
            </w:r>
          </w:p>
        </w:tc>
        <w:tc>
          <w:tcPr>
            <w:tcW w:w="1984"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兴银理财【稳添利最短持有期日开固收类】理财产品（代理）销售协议书</w:t>
            </w:r>
          </w:p>
        </w:tc>
        <w:tc>
          <w:tcPr>
            <w:tcW w:w="1984"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812" w:type="dxa"/>
          </w:tcPr>
          <w:p>
            <w:pPr>
              <w:widowControl/>
              <w:spacing w:line="360" w:lineRule="auto"/>
              <w:rPr>
                <w:rFonts w:ascii="宋体" w:hAnsi="宋体"/>
                <w:szCs w:val="21"/>
              </w:rPr>
            </w:pPr>
            <w:r>
              <w:rPr>
                <w:rFonts w:hint="eastAsia" w:ascii="宋体" w:hAnsi="宋体"/>
                <w:kern w:val="0"/>
                <w:sz w:val="20"/>
                <w:szCs w:val="21"/>
              </w:rPr>
              <w:t>兴银理财【稳添利最短持有期日开固收类】理财产品风险揭示书</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兴银理财【稳添利最短持有期日开固收类】理财产品投资者权益须知</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pStyle w:val="58"/>
        <w:widowControl/>
        <w:snapToGrid w:val="0"/>
        <w:spacing w:line="360" w:lineRule="auto"/>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r>
        <w:br w:type="page"/>
      </w: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兴银理财【稳添利最短持有期日开固收类】理财产品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r>
        <w:rPr>
          <w:rFonts w:ascii="黑体" w:hAnsi="黑体" w:eastAsia="黑体"/>
          <w:b/>
          <w:sz w:val="28"/>
          <w:szCs w:val="28"/>
        </w:rPr>
        <w:t xml:space="preserve">                 </w:t>
      </w:r>
      <w:r>
        <w:rPr>
          <w:rFonts w:hint="eastAsia" w:ascii="黑体" w:hAnsi="黑体" w:eastAsia="黑体"/>
          <w:b/>
          <w:sz w:val="28"/>
          <w:szCs w:val="28"/>
        </w:rPr>
        <w:t>】</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701383"/>
      <w:bookmarkStart w:id="1" w:name="_Toc123112224"/>
      <w:bookmarkStart w:id="2" w:name="_Toc123112263"/>
      <w:bookmarkStart w:id="3" w:name="_Toc139992301"/>
      <w:bookmarkStart w:id="4" w:name="_Toc139991726"/>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39991727"/>
      <w:bookmarkStart w:id="6" w:name="_Toc123112264"/>
      <w:bookmarkStart w:id="7" w:name="_Toc123701384"/>
      <w:bookmarkStart w:id="8" w:name="_Toc123112225"/>
      <w:bookmarkStart w:id="9" w:name="_Toc139992302"/>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r>
        <w:rPr>
          <w:rStyle w:val="27"/>
          <w:rFonts w:hint="eastAsia" w:ascii="宋体" w:hAnsi="宋体"/>
          <w:sz w:val="28"/>
          <w:szCs w:val="28"/>
        </w:rPr>
        <w:t>【202</w:t>
      </w:r>
      <w:r>
        <w:rPr>
          <w:rStyle w:val="27"/>
          <w:rFonts w:ascii="宋体" w:hAnsi="宋体"/>
          <w:sz w:val="28"/>
          <w:szCs w:val="28"/>
        </w:rPr>
        <w:t>3</w:t>
      </w:r>
      <w:r>
        <w:rPr>
          <w:rStyle w:val="27"/>
          <w:rFonts w:hint="eastAsia" w:ascii="宋体" w:hAnsi="宋体"/>
          <w:sz w:val="28"/>
          <w:szCs w:val="28"/>
        </w:rPr>
        <w:t>】年【</w:t>
      </w:r>
      <w:r>
        <w:rPr>
          <w:rStyle w:val="27"/>
          <w:rFonts w:ascii="宋体" w:hAnsi="宋体"/>
          <w:sz w:val="28"/>
          <w:szCs w:val="28"/>
        </w:rPr>
        <w:t>5</w:t>
      </w:r>
      <w:r>
        <w:rPr>
          <w:rStyle w:val="27"/>
          <w:rFonts w:hint="eastAsia" w:ascii="宋体" w:hAnsi="宋体"/>
          <w:sz w:val="28"/>
          <w:szCs w:val="28"/>
        </w:rPr>
        <w:t>】月</w:t>
      </w:r>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w:t>
            </w:r>
            <w:r>
              <w:rPr>
                <w:rFonts w:ascii="黑体" w:hAnsi="黑体" w:eastAsia="黑体"/>
                <w:bCs/>
                <w:sz w:val="18"/>
                <w:szCs w:val="18"/>
              </w:rPr>
              <w:t>须</w:t>
            </w:r>
            <w:r>
              <w:rPr>
                <w:rFonts w:hint="eastAsia" w:ascii="黑体" w:hAnsi="黑体" w:eastAsia="黑体"/>
                <w:bCs/>
                <w:sz w:val="18"/>
                <w:szCs w:val="18"/>
              </w:rPr>
              <w:t>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报酬计提基准</w:t>
            </w:r>
            <w:r>
              <w:rPr>
                <w:rFonts w:hint="eastAsia" w:ascii="黑体" w:hAnsi="黑体" w:eastAsia="黑体"/>
                <w:bCs/>
                <w:sz w:val="18"/>
                <w:szCs w:val="18"/>
              </w:rPr>
              <w:t>等类似表述不代表投资者可能获得的实际收益，亦不构成产品管理人对本产品的任何收益承诺，仅供投资者进行投资决定时参考。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投资者在此同意并授权，产品管理人可根据监管要求和合同约定，为理财产品登记、反洗钱</w:t>
            </w:r>
            <w:r>
              <w:rPr>
                <w:rFonts w:ascii="黑体" w:hAnsi="黑体" w:eastAsia="黑体"/>
                <w:bCs/>
                <w:sz w:val="18"/>
                <w:szCs w:val="18"/>
              </w:rPr>
              <w:t>工作</w:t>
            </w:r>
            <w:r>
              <w:rPr>
                <w:rFonts w:hint="eastAsia" w:ascii="黑体" w:hAnsi="黑体" w:eastAsia="黑体"/>
                <w:bCs/>
                <w:sz w:val="18"/>
                <w:szCs w:val="18"/>
              </w:rPr>
              <w:t>等需要，向登记部门或监管机构及相关方提供投资者相关信息。</w:t>
            </w:r>
          </w:p>
          <w:p>
            <w:pPr>
              <w:pStyle w:val="21"/>
              <w:snapToGrid w:val="0"/>
              <w:spacing w:before="0" w:beforeAutospacing="0" w:after="0" w:afterAutospacing="0" w:line="360" w:lineRule="auto"/>
              <w:jc w:val="both"/>
              <w:rPr>
                <w:rFonts w:ascii="黑体" w:hAnsi="黑体" w:eastAsia="黑体"/>
                <w:bCs/>
                <w:sz w:val="18"/>
                <w:szCs w:val="18"/>
              </w:rPr>
            </w:pPr>
          </w:p>
          <w:p>
            <w:pPr>
              <w:spacing w:line="360" w:lineRule="auto"/>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spacing w:line="360" w:lineRule="auto"/>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关于理财产品咨询的提示</w:t>
            </w:r>
          </w:p>
          <w:p>
            <w:pPr>
              <w:tabs>
                <w:tab w:val="left" w:pos="8070"/>
                <w:tab w:val="right" w:pos="8306"/>
              </w:tabs>
              <w:autoSpaceDE w:val="0"/>
              <w:autoSpaceDN w:val="0"/>
              <w:adjustRightInd w:val="0"/>
              <w:snapToGrid w:val="0"/>
              <w:spacing w:before="156" w:beforeLines="50" w:line="360" w:lineRule="auto"/>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701386"/>
      <w:bookmarkStart w:id="11" w:name="_Toc123112266"/>
      <w:bookmarkStart w:id="12" w:name="_Toc139991729"/>
      <w:bookmarkStart w:id="13" w:name="_Toc123112227"/>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本公司系根据中国银保监会批准设立的由兴业银行股份有限公司全资控股的银行理财子公司。公司名称：中文为“兴银理财有限责任公司”；英文：“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银保监会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6389" w:type="dxa"/>
            <w:gridSpan w:val="3"/>
            <w:shd w:val="solid" w:color="FFFFFF" w:fill="FFFFFF"/>
            <w:vAlign w:val="center"/>
          </w:tcPr>
          <w:p>
            <w:pPr>
              <w:autoSpaceDE w:val="0"/>
              <w:autoSpaceDN w:val="0"/>
              <w:adjustRightInd w:val="0"/>
              <w:jc w:val="left"/>
              <w:rPr>
                <w:rFonts w:ascii="宋体" w:hAnsi="宋体"/>
                <w:bCs/>
                <w:sz w:val="18"/>
                <w:szCs w:val="18"/>
              </w:rPr>
            </w:pPr>
            <w:r>
              <w:rPr>
                <w:rFonts w:hint="eastAsia" w:ascii="宋体" w:hAnsi="宋体"/>
                <w:sz w:val="18"/>
                <w:szCs w:val="18"/>
              </w:rPr>
              <w:t>兴银理财稳添利双月盈1号(2个月最短持有期)日开固收类理财产品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6389" w:type="dxa"/>
            <w:gridSpan w:val="3"/>
            <w:shd w:val="solid" w:color="FFFFFF" w:fill="FFFFFF"/>
            <w:vAlign w:val="center"/>
          </w:tcPr>
          <w:p>
            <w:pPr>
              <w:spacing w:line="360" w:lineRule="auto"/>
              <w:jc w:val="left"/>
              <w:rPr>
                <w:rFonts w:ascii="宋体" w:hAnsi="宋体"/>
                <w:sz w:val="18"/>
                <w:szCs w:val="18"/>
              </w:rPr>
            </w:pPr>
            <w:r>
              <w:rPr>
                <w:rFonts w:hint="eastAsia" w:ascii="宋体" w:hAnsi="宋体"/>
                <w:sz w:val="18"/>
                <w:szCs w:val="18"/>
              </w:rPr>
              <w:t>兴银稳添利双月盈1号A（适用【</w:t>
            </w:r>
            <w:r>
              <w:rPr>
                <w:rFonts w:ascii="宋体" w:hAnsi="宋体"/>
                <w:sz w:val="18"/>
                <w:szCs w:val="18"/>
              </w:rPr>
              <w:t>A</w:t>
            </w:r>
            <w:r>
              <w:rPr>
                <w:rFonts w:hint="eastAsia" w:ascii="宋体" w:hAnsi="宋体"/>
                <w:sz w:val="18"/>
                <w:szCs w:val="18"/>
              </w:rPr>
              <w:t>】类份额）</w:t>
            </w:r>
          </w:p>
          <w:p>
            <w:pPr>
              <w:spacing w:line="360" w:lineRule="auto"/>
              <w:jc w:val="left"/>
              <w:rPr>
                <w:rFonts w:ascii="宋体" w:hAnsi="宋体"/>
                <w:sz w:val="18"/>
                <w:szCs w:val="18"/>
              </w:rPr>
            </w:pPr>
            <w:r>
              <w:rPr>
                <w:rFonts w:hint="eastAsia" w:ascii="宋体" w:hAnsi="宋体"/>
                <w:sz w:val="18"/>
                <w:szCs w:val="18"/>
              </w:rPr>
              <w:t>兴银稳添利双月盈1号B（适用【</w:t>
            </w:r>
            <w:r>
              <w:rPr>
                <w:rFonts w:ascii="宋体" w:hAnsi="宋体"/>
                <w:sz w:val="18"/>
                <w:szCs w:val="18"/>
              </w:rPr>
              <w:t>B</w:t>
            </w:r>
            <w:r>
              <w:rPr>
                <w:rFonts w:hint="eastAsia" w:ascii="宋体" w:hAnsi="宋体"/>
                <w:sz w:val="18"/>
                <w:szCs w:val="18"/>
              </w:rPr>
              <w:t>】类份额）</w:t>
            </w:r>
          </w:p>
          <w:p>
            <w:pPr>
              <w:spacing w:line="360" w:lineRule="auto"/>
              <w:jc w:val="left"/>
              <w:rPr>
                <w:rFonts w:ascii="宋体" w:hAnsi="宋体"/>
                <w:sz w:val="18"/>
                <w:szCs w:val="18"/>
              </w:rPr>
            </w:pPr>
            <w:r>
              <w:rPr>
                <w:rFonts w:hint="eastAsia" w:ascii="宋体" w:hAnsi="宋体"/>
                <w:sz w:val="18"/>
                <w:szCs w:val="18"/>
              </w:rPr>
              <w:t>兴银稳添利双月盈1号</w:t>
            </w:r>
            <w:r>
              <w:rPr>
                <w:rFonts w:ascii="宋体" w:hAnsi="宋体"/>
                <w:sz w:val="18"/>
                <w:szCs w:val="18"/>
              </w:rPr>
              <w:t>C</w:t>
            </w:r>
            <w:r>
              <w:rPr>
                <w:rFonts w:hint="eastAsia" w:ascii="宋体" w:hAnsi="宋体"/>
                <w:sz w:val="18"/>
                <w:szCs w:val="18"/>
              </w:rPr>
              <w:t>（适用【</w:t>
            </w:r>
            <w:r>
              <w:rPr>
                <w:rFonts w:ascii="宋体" w:hAnsi="宋体"/>
                <w:sz w:val="18"/>
                <w:szCs w:val="18"/>
              </w:rPr>
              <w:t>C</w:t>
            </w:r>
            <w:r>
              <w:rPr>
                <w:rFonts w:hint="eastAsia" w:ascii="宋体" w:hAnsi="宋体"/>
                <w:sz w:val="18"/>
                <w:szCs w:val="18"/>
              </w:rPr>
              <w:t>】类份额）</w:t>
            </w:r>
          </w:p>
          <w:p>
            <w:pPr>
              <w:spacing w:line="360" w:lineRule="auto"/>
              <w:jc w:val="left"/>
              <w:rPr>
                <w:rFonts w:ascii="宋体" w:hAnsi="宋体"/>
                <w:bCs/>
                <w:sz w:val="18"/>
                <w:szCs w:val="18"/>
              </w:rPr>
            </w:pPr>
            <w:r>
              <w:rPr>
                <w:rFonts w:hint="eastAsia" w:ascii="宋体" w:hAnsi="宋体"/>
                <w:sz w:val="18"/>
                <w:szCs w:val="18"/>
              </w:rPr>
              <w:t>兴银稳添利双月盈1号</w:t>
            </w:r>
            <w:r>
              <w:rPr>
                <w:rFonts w:ascii="宋体" w:hAnsi="宋体"/>
                <w:sz w:val="18"/>
                <w:szCs w:val="18"/>
              </w:rPr>
              <w:t>D</w:t>
            </w:r>
            <w:r>
              <w:rPr>
                <w:rFonts w:hint="eastAsia" w:ascii="宋体" w:hAnsi="宋体"/>
                <w:sz w:val="18"/>
                <w:szCs w:val="18"/>
              </w:rPr>
              <w:t>（适用【D】类份额）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6389" w:type="dxa"/>
            <w:gridSpan w:val="3"/>
            <w:shd w:val="solid" w:color="FFFFFF" w:fill="FFFFFF"/>
            <w:vAlign w:val="center"/>
          </w:tcPr>
          <w:p>
            <w:pPr>
              <w:rPr>
                <w:rFonts w:ascii="宋体" w:hAnsi="宋体"/>
                <w:bCs/>
                <w:sz w:val="18"/>
                <w:szCs w:val="18"/>
              </w:rPr>
            </w:pPr>
            <w:r>
              <w:rPr>
                <w:rFonts w:hint="eastAsia" w:hAnsi="宋体"/>
                <w:sz w:val="18"/>
                <w:szCs w:val="18"/>
              </w:rPr>
              <w:t>【</w:t>
            </w:r>
            <w:r>
              <w:rPr>
                <w:rFonts w:ascii="宋体" w:hAnsi="宋体"/>
                <w:sz w:val="18"/>
                <w:szCs w:val="18"/>
              </w:rPr>
              <w:t>Z7002022000135</w:t>
            </w:r>
            <w:r>
              <w:rPr>
                <w:rFonts w:hint="eastAsia" w:ascii="宋体" w:hAnsi="宋体"/>
                <w:sz w:val="18"/>
                <w:szCs w:val="18"/>
              </w:rPr>
              <w:t>】注</w:t>
            </w:r>
            <w:r>
              <w:rPr>
                <w:rFonts w:hint="eastAsia" w:hAnsi="宋体"/>
                <w:sz w:val="18"/>
                <w:szCs w:val="18"/>
              </w:rPr>
              <w:t>：投资者可依</w:t>
            </w:r>
            <w:r>
              <w:rPr>
                <w:rFonts w:hint="eastAsia" w:ascii="宋体" w:hAnsi="宋体"/>
                <w:sz w:val="18"/>
                <w:szCs w:val="18"/>
              </w:rPr>
              <w:t>据理财产品登记编码在中国理财网(</w:t>
            </w:r>
            <w:r>
              <w:fldChar w:fldCharType="begin"/>
            </w:r>
            <w:r>
              <w:instrText xml:space="preserve"> HYPERLINK "http://www.chinawealth.com.cn" </w:instrText>
            </w:r>
            <w:r>
              <w:fldChar w:fldCharType="separate"/>
            </w:r>
            <w:r>
              <w:rPr>
                <w:rStyle w:val="29"/>
                <w:rFonts w:hint="eastAsia" w:ascii="宋体" w:hAnsi="宋体"/>
                <w:sz w:val="18"/>
                <w:szCs w:val="18"/>
              </w:rPr>
              <w:t>www.chinawealth.com.cn</w:t>
            </w:r>
            <w:r>
              <w:rPr>
                <w:rStyle w:val="29"/>
                <w:rFonts w:hint="eastAsia" w:ascii="宋体" w:hAnsi="宋体"/>
                <w:sz w:val="18"/>
                <w:szCs w:val="18"/>
              </w:rPr>
              <w:fldChar w:fldCharType="end"/>
            </w:r>
            <w:r>
              <w:rPr>
                <w:rFonts w:hint="eastAsia" w:ascii="宋体" w:hAnsi="宋体"/>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w:t>
            </w:r>
            <w:r>
              <w:rPr>
                <w:rFonts w:ascii="宋体" w:hAnsi="宋体"/>
                <w:b/>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sz w:val="18"/>
                <w:szCs w:val="18"/>
              </w:rPr>
              <w:t>【9K910</w:t>
            </w:r>
            <w:r>
              <w:rPr>
                <w:rFonts w:hint="eastAsia" w:ascii="宋体" w:hAnsi="宋体"/>
                <w:sz w:val="18"/>
                <w:szCs w:val="18"/>
              </w:rPr>
              <w:t>6</w:t>
            </w:r>
            <w:r>
              <w:rPr>
                <w:rFonts w:ascii="宋体" w:hAnsi="宋体"/>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
                <w:bCs/>
                <w:sz w:val="18"/>
                <w:szCs w:val="18"/>
              </w:rPr>
              <w:t>销售</w:t>
            </w:r>
            <w:r>
              <w:rPr>
                <w:rFonts w:ascii="宋体" w:hAnsi="宋体"/>
                <w:b/>
                <w:bCs/>
                <w:sz w:val="18"/>
                <w:szCs w:val="18"/>
              </w:rPr>
              <w:t>代码</w:t>
            </w:r>
          </w:p>
        </w:tc>
        <w:tc>
          <w:tcPr>
            <w:tcW w:w="6389" w:type="dxa"/>
            <w:gridSpan w:val="3"/>
            <w:shd w:val="solid" w:color="FFFFFF" w:fill="FFFFFF"/>
            <w:vAlign w:val="center"/>
          </w:tcPr>
          <w:p>
            <w:pPr>
              <w:spacing w:line="360" w:lineRule="auto"/>
              <w:jc w:val="left"/>
              <w:rPr>
                <w:rFonts w:ascii="宋体" w:hAnsi="宋体"/>
                <w:sz w:val="18"/>
                <w:szCs w:val="18"/>
              </w:rPr>
            </w:pPr>
            <w:r>
              <w:rPr>
                <w:rFonts w:ascii="宋体" w:hAnsi="宋体"/>
                <w:sz w:val="18"/>
                <w:szCs w:val="18"/>
              </w:rPr>
              <w:t>【9K910</w:t>
            </w:r>
            <w:r>
              <w:rPr>
                <w:rFonts w:hint="eastAsia" w:ascii="宋体" w:hAnsi="宋体"/>
                <w:sz w:val="18"/>
                <w:szCs w:val="18"/>
              </w:rPr>
              <w:t>6</w:t>
            </w:r>
            <w:r>
              <w:rPr>
                <w:rFonts w:ascii="宋体" w:hAnsi="宋体"/>
                <w:sz w:val="18"/>
                <w:szCs w:val="18"/>
              </w:rPr>
              <w:t>1A】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jc w:val="left"/>
              <w:rPr>
                <w:rFonts w:ascii="宋体" w:hAnsi="宋体"/>
                <w:sz w:val="18"/>
                <w:szCs w:val="18"/>
              </w:rPr>
            </w:pPr>
            <w:r>
              <w:rPr>
                <w:rFonts w:ascii="宋体" w:hAnsi="宋体"/>
                <w:sz w:val="18"/>
                <w:szCs w:val="18"/>
              </w:rPr>
              <w:t>【9K910</w:t>
            </w:r>
            <w:r>
              <w:rPr>
                <w:rFonts w:hint="eastAsia" w:ascii="宋体" w:hAnsi="宋体"/>
                <w:sz w:val="18"/>
                <w:szCs w:val="18"/>
              </w:rPr>
              <w:t>6</w:t>
            </w:r>
            <w:r>
              <w:rPr>
                <w:rFonts w:ascii="宋体" w:hAnsi="宋体"/>
                <w:sz w:val="18"/>
                <w:szCs w:val="18"/>
              </w:rPr>
              <w:t>1B】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p>
            <w:pPr>
              <w:spacing w:line="360" w:lineRule="auto"/>
              <w:jc w:val="left"/>
              <w:rPr>
                <w:rFonts w:ascii="宋体" w:hAnsi="宋体"/>
                <w:sz w:val="18"/>
                <w:szCs w:val="18"/>
              </w:rPr>
            </w:pPr>
            <w:r>
              <w:rPr>
                <w:rFonts w:ascii="宋体" w:hAnsi="宋体"/>
                <w:sz w:val="18"/>
                <w:szCs w:val="18"/>
              </w:rPr>
              <w:t>【9K910</w:t>
            </w:r>
            <w:r>
              <w:rPr>
                <w:rFonts w:hint="eastAsia" w:ascii="宋体" w:hAnsi="宋体"/>
                <w:sz w:val="18"/>
                <w:szCs w:val="18"/>
              </w:rPr>
              <w:t>6</w:t>
            </w:r>
            <w:r>
              <w:rPr>
                <w:rFonts w:ascii="宋体" w:hAnsi="宋体"/>
                <w:sz w:val="18"/>
                <w:szCs w:val="18"/>
              </w:rPr>
              <w:t>1C】</w:t>
            </w:r>
            <w:r>
              <w:rPr>
                <w:rFonts w:hint="eastAsia" w:ascii="宋体" w:hAnsi="宋体"/>
                <w:sz w:val="18"/>
                <w:szCs w:val="18"/>
              </w:rPr>
              <w:t>（适用【</w:t>
            </w:r>
            <w:r>
              <w:rPr>
                <w:rFonts w:ascii="宋体" w:hAnsi="宋体"/>
                <w:sz w:val="18"/>
                <w:szCs w:val="18"/>
              </w:rPr>
              <w:t>C</w:t>
            </w:r>
            <w:r>
              <w:rPr>
                <w:rFonts w:hint="eastAsia" w:ascii="宋体" w:hAnsi="宋体"/>
                <w:sz w:val="18"/>
                <w:szCs w:val="18"/>
              </w:rPr>
              <w:t>】类份额）</w:t>
            </w:r>
          </w:p>
          <w:p>
            <w:pPr>
              <w:spacing w:line="360" w:lineRule="auto"/>
              <w:jc w:val="left"/>
              <w:rPr>
                <w:rFonts w:ascii="宋体" w:hAnsi="宋体"/>
                <w:bCs/>
                <w:color w:val="000000" w:themeColor="text1"/>
                <w:sz w:val="18"/>
                <w:szCs w:val="18"/>
              </w:rPr>
            </w:pPr>
            <w:r>
              <w:rPr>
                <w:rFonts w:ascii="宋体" w:hAnsi="宋体"/>
                <w:sz w:val="18"/>
                <w:szCs w:val="18"/>
              </w:rPr>
              <w:t>【9K910</w:t>
            </w:r>
            <w:r>
              <w:rPr>
                <w:rFonts w:hint="eastAsia" w:ascii="宋体" w:hAnsi="宋体"/>
                <w:sz w:val="18"/>
                <w:szCs w:val="18"/>
              </w:rPr>
              <w:t>6</w:t>
            </w:r>
            <w:r>
              <w:rPr>
                <w:rFonts w:ascii="宋体" w:hAnsi="宋体"/>
                <w:sz w:val="18"/>
                <w:szCs w:val="18"/>
              </w:rPr>
              <w:t>1D】</w:t>
            </w:r>
            <w:r>
              <w:rPr>
                <w:rFonts w:hint="eastAsia" w:ascii="宋体" w:hAnsi="宋体"/>
                <w:sz w:val="18"/>
                <w:szCs w:val="18"/>
              </w:rPr>
              <w:t>（适用【</w:t>
            </w:r>
            <w:r>
              <w:rPr>
                <w:rFonts w:ascii="宋体" w:hAnsi="宋体"/>
                <w:sz w:val="18"/>
                <w:szCs w:val="18"/>
              </w:rPr>
              <w:t>D</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r>
              <w:rPr>
                <w:rFonts w:ascii="宋体" w:hAnsi="宋体"/>
                <w:szCs w:val="18"/>
                <w:u w:val="single"/>
              </w:rPr>
              <w:t xml:space="preserve">　                     </w:t>
            </w:r>
            <w:r>
              <w:rPr>
                <w:rFonts w:hint="eastAsia" w:ascii="宋体" w:hAnsi="宋体"/>
                <w:szCs w:val="18"/>
              </w:rPr>
              <w:t>。</w:t>
            </w:r>
          </w:p>
        </w:tc>
      </w:tr>
    </w:tbl>
    <w:p>
      <w:pPr>
        <w:widowControl/>
        <w:spacing w:line="360" w:lineRule="auto"/>
        <w:jc w:val="left"/>
        <w:rPr>
          <w:bCs/>
          <w:sz w:val="32"/>
        </w:rPr>
      </w:pPr>
      <w:r>
        <w:rPr>
          <w:rFonts w:hint="eastAsia"/>
          <w:bCs/>
          <w:sz w:val="32"/>
        </w:rPr>
        <w:t xml:space="preserve"> </w:t>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sectPr>
          <w:headerReference r:id="rId3" w:type="default"/>
          <w:footerReference r:id="rId4" w:type="default"/>
          <w:pgSz w:w="11906" w:h="16838"/>
          <w:pgMar w:top="1440" w:right="1800" w:bottom="1440" w:left="1800" w:header="567" w:footer="992" w:gutter="0"/>
          <w:pgNumType w:start="0"/>
          <w:cols w:space="720" w:num="1"/>
          <w:titlePg/>
          <w:docGrid w:type="lines" w:linePitch="312" w:charSpace="0"/>
        </w:sectPr>
      </w:pP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lang w:val="zh-CN"/>
            </w:rPr>
            <w:t>目录</w:t>
          </w:r>
        </w:p>
        <w:p>
          <w:pPr>
            <w:pStyle w:val="16"/>
            <w:rPr>
              <w:rFonts w:asciiTheme="minorHAnsi" w:hAnsiTheme="minorHAnsi" w:eastAsiaTheme="minorEastAsia" w:cstheme="minorBidi"/>
              <w:szCs w:val="22"/>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"_Toc95897036" </w:instrText>
          </w:r>
          <w:r>
            <w:fldChar w:fldCharType="separate"/>
          </w:r>
          <w:r>
            <w:rPr>
              <w:rStyle w:val="29"/>
              <w:rFonts w:hint="eastAsia"/>
            </w:rPr>
            <w:t>第一条</w:t>
          </w:r>
          <w:r>
            <w:rPr>
              <w:rStyle w:val="29"/>
            </w:rPr>
            <w:t xml:space="preserve">  </w:t>
          </w:r>
          <w:r>
            <w:rPr>
              <w:rStyle w:val="29"/>
              <w:rFonts w:hint="eastAsia"/>
            </w:rPr>
            <w:t>前言</w:t>
          </w:r>
          <w:r>
            <w:tab/>
          </w:r>
          <w:r>
            <w:fldChar w:fldCharType="begin"/>
          </w:r>
          <w:r>
            <w:instrText xml:space="preserve"> PAGEREF _Toc95897036 \h </w:instrText>
          </w:r>
          <w:r>
            <w:fldChar w:fldCharType="separate"/>
          </w:r>
          <w:r>
            <w:t>1</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"_Toc95897037" </w:instrText>
          </w:r>
          <w:r>
            <w:fldChar w:fldCharType="separate"/>
          </w:r>
          <w:r>
            <w:rPr>
              <w:rStyle w:val="29"/>
              <w:rFonts w:hint="eastAsia"/>
            </w:rPr>
            <w:t>第二条</w:t>
          </w:r>
          <w:r>
            <w:rPr>
              <w:rStyle w:val="29"/>
            </w:rPr>
            <w:t xml:space="preserve">  </w:t>
          </w:r>
          <w:r>
            <w:rPr>
              <w:rStyle w:val="29"/>
              <w:rFonts w:hint="eastAsia"/>
            </w:rPr>
            <w:t>双方权利义务</w:t>
          </w:r>
          <w:r>
            <w:tab/>
          </w:r>
          <w:r>
            <w:fldChar w:fldCharType="begin"/>
          </w:r>
          <w:r>
            <w:instrText xml:space="preserve"> PAGEREF _Toc95897037 \h </w:instrText>
          </w:r>
          <w:r>
            <w:fldChar w:fldCharType="separate"/>
          </w:r>
          <w:r>
            <w:t>2</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"_Toc95897038" </w:instrText>
          </w:r>
          <w:r>
            <w:fldChar w:fldCharType="separate"/>
          </w:r>
          <w:r>
            <w:rPr>
              <w:rStyle w:val="29"/>
              <w:rFonts w:hint="eastAsia"/>
            </w:rPr>
            <w:t>第三条</w:t>
          </w:r>
          <w:r>
            <w:rPr>
              <w:rStyle w:val="29"/>
            </w:rPr>
            <w:t xml:space="preserve">  </w:t>
          </w:r>
          <w:r>
            <w:rPr>
              <w:rStyle w:val="29"/>
              <w:rFonts w:hint="eastAsia"/>
            </w:rPr>
            <w:t>不可抗力</w:t>
          </w:r>
          <w:r>
            <w:tab/>
          </w:r>
          <w:r>
            <w:fldChar w:fldCharType="begin"/>
          </w:r>
          <w:r>
            <w:instrText xml:space="preserve"> PAGEREF _Toc95897038 \h </w:instrText>
          </w:r>
          <w:r>
            <w:fldChar w:fldCharType="separate"/>
          </w:r>
          <w:r>
            <w:t>5</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"_Toc95897039" </w:instrText>
          </w:r>
          <w:r>
            <w:fldChar w:fldCharType="separate"/>
          </w:r>
          <w:r>
            <w:rPr>
              <w:rStyle w:val="29"/>
              <w:rFonts w:hint="eastAsia"/>
            </w:rPr>
            <w:t>第四条</w:t>
          </w:r>
          <w:r>
            <w:rPr>
              <w:rStyle w:val="29"/>
            </w:rPr>
            <w:t xml:space="preserve">  </w:t>
          </w:r>
          <w:r>
            <w:rPr>
              <w:rStyle w:val="29"/>
              <w:rFonts w:hint="eastAsia"/>
            </w:rPr>
            <w:t>违约责任</w:t>
          </w:r>
          <w:r>
            <w:tab/>
          </w:r>
          <w:r>
            <w:fldChar w:fldCharType="begin"/>
          </w:r>
          <w:r>
            <w:instrText xml:space="preserve"> PAGEREF _Toc95897039 \h </w:instrText>
          </w:r>
          <w:r>
            <w:fldChar w:fldCharType="separate"/>
          </w:r>
          <w:r>
            <w:t>6</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"_Toc95897040" </w:instrText>
          </w:r>
          <w:r>
            <w:fldChar w:fldCharType="separate"/>
          </w:r>
          <w:r>
            <w:rPr>
              <w:rStyle w:val="29"/>
              <w:rFonts w:hint="eastAsia"/>
            </w:rPr>
            <w:t>第五条</w:t>
          </w:r>
          <w:r>
            <w:rPr>
              <w:rStyle w:val="29"/>
            </w:rPr>
            <w:t xml:space="preserve">  </w:t>
          </w:r>
          <w:r>
            <w:rPr>
              <w:rStyle w:val="29"/>
              <w:rFonts w:hint="eastAsia"/>
            </w:rPr>
            <w:t>法律适用和争议解决</w:t>
          </w:r>
          <w:r>
            <w:tab/>
          </w:r>
          <w:r>
            <w:fldChar w:fldCharType="begin"/>
          </w:r>
          <w:r>
            <w:instrText xml:space="preserve"> PAGEREF _Toc95897040 \h </w:instrText>
          </w:r>
          <w:r>
            <w:fldChar w:fldCharType="separate"/>
          </w:r>
          <w:r>
            <w:t>7</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"_Toc95897041" </w:instrText>
          </w:r>
          <w:r>
            <w:fldChar w:fldCharType="separate"/>
          </w:r>
          <w:r>
            <w:rPr>
              <w:rStyle w:val="29"/>
              <w:rFonts w:hint="eastAsia"/>
            </w:rPr>
            <w:t>第六条</w:t>
          </w:r>
          <w:r>
            <w:rPr>
              <w:rStyle w:val="29"/>
            </w:rPr>
            <w:t xml:space="preserve">  </w:t>
          </w:r>
          <w:r>
            <w:rPr>
              <w:rStyle w:val="29"/>
              <w:rFonts w:hint="eastAsia"/>
            </w:rPr>
            <w:t>协议的签署和效力</w:t>
          </w:r>
          <w:r>
            <w:tab/>
          </w:r>
          <w:r>
            <w:fldChar w:fldCharType="begin"/>
          </w:r>
          <w:r>
            <w:instrText xml:space="preserve"> PAGEREF _Toc95897041 \h </w:instrText>
          </w:r>
          <w:r>
            <w:fldChar w:fldCharType="separate"/>
          </w:r>
          <w:r>
            <w:t>8</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"_Toc95897042" </w:instrText>
          </w:r>
          <w:r>
            <w:fldChar w:fldCharType="separate"/>
          </w:r>
          <w:r>
            <w:rPr>
              <w:rStyle w:val="29"/>
              <w:rFonts w:hint="eastAsia"/>
            </w:rPr>
            <w:t>第七条</w:t>
          </w:r>
          <w:r>
            <w:rPr>
              <w:rStyle w:val="29"/>
            </w:rPr>
            <w:t xml:space="preserve">  </w:t>
          </w:r>
          <w:r>
            <w:rPr>
              <w:rStyle w:val="29"/>
              <w:rFonts w:hint="eastAsia"/>
            </w:rPr>
            <w:t>消费者权益保护</w:t>
          </w:r>
          <w:r>
            <w:tab/>
          </w:r>
          <w:r>
            <w:fldChar w:fldCharType="begin"/>
          </w:r>
          <w:r>
            <w:instrText xml:space="preserve"> PAGEREF _Toc95897042 \h </w:instrText>
          </w:r>
          <w:r>
            <w:fldChar w:fldCharType="separate"/>
          </w:r>
          <w:r>
            <w:t>9</w:t>
          </w:r>
          <w:r>
            <w:fldChar w:fldCharType="end"/>
          </w:r>
          <w:r>
            <w:fldChar w:fldCharType="end"/>
          </w:r>
        </w:p>
        <w:p>
          <w:pPr>
            <w:spacing w:line="360" w:lineRule="auto"/>
          </w:pPr>
          <w:r>
            <w:rPr>
              <w:b/>
              <w:bCs/>
              <w:lang w:val="zh-CN"/>
            </w:rPr>
            <w:fldChar w:fldCharType="end"/>
          </w:r>
        </w:p>
      </w:sdtContent>
    </w:sdt>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sectPr>
          <w:pgSz w:w="11906" w:h="16838"/>
          <w:pgMar w:top="1440" w:right="1800" w:bottom="1440" w:left="1800" w:header="851" w:footer="992" w:gutter="0"/>
          <w:pgNumType w:start="0"/>
          <w:cols w:space="720" w:num="1"/>
          <w:docGrid w:type="lines" w:linePitch="312" w:charSpace="0"/>
        </w:sect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141703880"/>
      <w:bookmarkStart w:id="15" w:name="_Toc30935"/>
      <w:bookmarkStart w:id="16" w:name="_Toc139991730"/>
      <w:bookmarkStart w:id="17" w:name="_Toc26897"/>
      <w:bookmarkStart w:id="18" w:name="_Toc123112229"/>
      <w:bookmarkStart w:id="19" w:name="_Toc123701389"/>
      <w:bookmarkStart w:id="20" w:name="_Toc15517"/>
      <w:bookmarkStart w:id="21" w:name="_Toc123112268"/>
      <w:bookmarkStart w:id="22" w:name="_Toc4867"/>
      <w:bookmarkStart w:id="23" w:name="_Toc29629"/>
      <w:bookmarkStart w:id="24" w:name="_Toc32639"/>
      <w:bookmarkStart w:id="25" w:name="_Toc8727"/>
      <w:bookmarkStart w:id="26" w:name="_Toc23386"/>
      <w:bookmarkStart w:id="27" w:name="_Toc6306"/>
      <w:bookmarkStart w:id="28" w:name="_Toc4966"/>
      <w:bookmarkStart w:id="29" w:name="_Toc95897036"/>
      <w:bookmarkStart w:id="30" w:name="_Toc88482730"/>
      <w:bookmarkStart w:id="31" w:name="_Toc74065738"/>
      <w:bookmarkStart w:id="32"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3" w:name="_Toc258829399"/>
      <w:bookmarkStart w:id="34" w:name="_Toc15067"/>
      <w:bookmarkStart w:id="35" w:name="_Toc6617"/>
      <w:bookmarkStart w:id="36" w:name="_Toc19592"/>
      <w:bookmarkStart w:id="37" w:name="_Toc24860"/>
      <w:bookmarkStart w:id="38" w:name="_Toc22864"/>
      <w:bookmarkStart w:id="39" w:name="_Toc3224"/>
      <w:bookmarkStart w:id="40" w:name="_Toc13020"/>
      <w:bookmarkStart w:id="41" w:name="_Toc819"/>
      <w:bookmarkStart w:id="42" w:name="_Toc21301"/>
      <w:bookmarkStart w:id="43" w:name="_Toc2465"/>
      <w:r>
        <w:rPr>
          <w:rFonts w:hint="eastAsia" w:ascii="Times New Roman"/>
          <w:color w:val="auto"/>
          <w:sz w:val="30"/>
        </w:rPr>
        <w:t>前言</w:t>
      </w:r>
      <w:bookmarkEnd w:id="29"/>
      <w:bookmarkEnd w:id="30"/>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、订立本投资协议书的目的是保护投资人合法权益，明确投资协议书当事人的权利义务，规范理财产品运作。</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、订立本投资协议书的依据是《中华人民共和国民法典》等法律法规、《关于规范金融机构资产管理业务的指导意见》（银发</w:t>
      </w:r>
      <w:r>
        <w:rPr>
          <w:rFonts w:asciiTheme="majorEastAsia" w:hAnsiTheme="majorEastAsia" w:eastAsiaTheme="majorEastAsia"/>
          <w:bCs/>
          <w:color w:val="auto"/>
          <w:sz w:val="18"/>
          <w:szCs w:val="18"/>
        </w:rPr>
        <w:t>[2018]106</w:t>
      </w:r>
      <w:r>
        <w:rPr>
          <w:rFonts w:hint="eastAsia" w:asciiTheme="majorEastAsia" w:hAnsiTheme="majorEastAsia" w:eastAsiaTheme="majorEastAsia"/>
          <w:bCs/>
          <w:color w:val="auto"/>
          <w:sz w:val="18"/>
          <w:szCs w:val="18"/>
        </w:rPr>
        <w:t>号）、《商业银行理财业务监督管理办法》（银保监会令</w:t>
      </w:r>
      <w:r>
        <w:rPr>
          <w:rFonts w:asciiTheme="majorEastAsia" w:hAnsiTheme="majorEastAsia" w:eastAsiaTheme="majorEastAsia"/>
          <w:bCs/>
          <w:color w:val="auto"/>
          <w:sz w:val="18"/>
          <w:szCs w:val="18"/>
        </w:rPr>
        <w:t xml:space="preserve"> </w:t>
      </w:r>
      <w:r>
        <w:rPr>
          <w:rFonts w:hint="eastAsia" w:asciiTheme="majorEastAsia" w:hAnsiTheme="majorEastAsia" w:eastAsiaTheme="majorEastAsia"/>
          <w:bCs/>
          <w:color w:val="auto"/>
          <w:sz w:val="18"/>
          <w:szCs w:val="18"/>
        </w:rPr>
        <w:t>2018年第</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号）、</w:t>
      </w:r>
      <w:bookmarkStart w:id="44" w:name="_Toc59965743"/>
      <w:r>
        <w:rPr>
          <w:rFonts w:hint="eastAsia" w:asciiTheme="majorEastAsia" w:hAnsiTheme="majorEastAsia" w:eastAsiaTheme="majorEastAsia"/>
          <w:bCs/>
          <w:color w:val="auto"/>
          <w:sz w:val="18"/>
          <w:szCs w:val="18"/>
        </w:rPr>
        <w:t>《商业银行理财子公司管理办法》</w:t>
      </w:r>
      <w:bookmarkEnd w:id="44"/>
      <w:r>
        <w:rPr>
          <w:rFonts w:hint="eastAsia" w:asciiTheme="majorEastAsia" w:hAnsiTheme="majorEastAsia" w:eastAsiaTheme="majorEastAsia"/>
          <w:bCs/>
          <w:color w:val="auto"/>
          <w:sz w:val="18"/>
          <w:szCs w:val="18"/>
        </w:rPr>
        <w:t>（银保监会令2018年第7号）、《理财公司理财产品销售管理暂行办法》（银保监会令2021年第4号）等监管规定及其他有关规定。</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、订立本投资协议书的原则是平等自愿、诚实信用、充分保护投资人合法权益。</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 xml:space="preserve"> </w:t>
      </w:r>
    </w:p>
    <w:p>
      <w:pPr>
        <w:pStyle w:val="43"/>
        <w:spacing w:line="360" w:lineRule="auto"/>
        <w:rPr>
          <w:rFonts w:asciiTheme="majorEastAsia" w:hAnsiTheme="majorEastAsia" w:eastAsiaTheme="majorEastAsia"/>
          <w:bCs/>
          <w:color w:val="auto"/>
          <w:sz w:val="18"/>
          <w:szCs w:val="18"/>
        </w:rPr>
      </w:pPr>
    </w:p>
    <w:bookmarkEnd w:id="31"/>
    <w:p>
      <w:pPr>
        <w:widowControl/>
        <w:spacing w:line="360" w:lineRule="auto"/>
        <w:jc w:val="left"/>
      </w:pPr>
      <w:r>
        <w:br w:type="page"/>
      </w:r>
    </w:p>
    <w:p>
      <w:pPr>
        <w:pStyle w:val="2"/>
        <w:spacing w:before="0" w:after="0"/>
        <w:jc w:val="center"/>
        <w:rPr>
          <w:rFonts w:ascii="Times New Roman"/>
          <w:color w:val="auto"/>
          <w:sz w:val="30"/>
        </w:rPr>
      </w:pPr>
      <w:bookmarkStart w:id="45" w:name="_Toc95897037"/>
      <w:bookmarkStart w:id="46" w:name="_Toc88482731"/>
      <w:bookmarkStart w:id="47"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45"/>
      <w:bookmarkEnd w:id="46"/>
    </w:p>
    <w:p>
      <w:pPr>
        <w:tabs>
          <w:tab w:val="left" w:pos="704"/>
          <w:tab w:val="left" w:pos="1995"/>
        </w:tabs>
        <w:autoSpaceDE w:val="0"/>
        <w:autoSpaceDN w:val="0"/>
        <w:adjustRightInd w:val="0"/>
        <w:snapToGrid w:val="0"/>
        <w:spacing w:line="360" w:lineRule="auto"/>
        <w:ind w:firstLine="361" w:firstLineChars="200"/>
        <w:outlineLvl w:val="1"/>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投资者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销售机构、产品托管人、监管机构、自律组织、理财登记备案机构、金融交易对手方、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10.</w:t>
      </w:r>
      <w:r>
        <w:rPr>
          <w:rFonts w:hint="eastAsia" w:ascii="黑体" w:hAnsi="黑体" w:eastAsia="黑体"/>
          <w:sz w:val="18"/>
          <w:szCs w:val="18"/>
        </w:rPr>
        <w:t>★</w:t>
      </w:r>
      <w:r>
        <w:rPr>
          <w:rFonts w:ascii="黑体" w:hAnsi="黑体" w:eastAsia="黑体"/>
          <w:sz w:val="18"/>
          <w:szCs w:val="18"/>
        </w:rPr>
        <w:t>未经</w:t>
      </w:r>
      <w:r>
        <w:rPr>
          <w:rFonts w:hint="eastAsia" w:ascii="黑体" w:hAnsi="黑体" w:eastAsia="黑体"/>
          <w:sz w:val="18"/>
          <w:szCs w:val="18"/>
        </w:rPr>
        <w:t>产品管理人</w:t>
      </w:r>
      <w:r>
        <w:rPr>
          <w:rFonts w:ascii="黑体" w:hAnsi="黑体" w:eastAsia="黑体"/>
          <w:sz w:val="18"/>
          <w:szCs w:val="18"/>
        </w:rPr>
        <w:t>同意，</w:t>
      </w:r>
      <w:r>
        <w:rPr>
          <w:rFonts w:hint="eastAsia" w:ascii="黑体" w:hAnsi="黑体" w:eastAsia="黑体"/>
          <w:sz w:val="18"/>
          <w:szCs w:val="18"/>
        </w:rPr>
        <w:t>投资者</w:t>
      </w:r>
      <w:r>
        <w:rPr>
          <w:rFonts w:ascii="黑体" w:hAnsi="黑体" w:eastAsia="黑体"/>
          <w:sz w:val="18"/>
          <w:szCs w:val="18"/>
        </w:rPr>
        <w:t>不得以本</w:t>
      </w:r>
      <w:r>
        <w:rPr>
          <w:rFonts w:hint="eastAsia" w:ascii="黑体" w:hAnsi="黑体" w:eastAsia="黑体"/>
          <w:sz w:val="18"/>
          <w:szCs w:val="18"/>
        </w:rPr>
        <w:t>产品</w:t>
      </w:r>
      <w:r>
        <w:rPr>
          <w:rFonts w:ascii="黑体" w:hAnsi="黑体" w:eastAsia="黑体"/>
          <w:sz w:val="18"/>
          <w:szCs w:val="18"/>
        </w:rPr>
        <w:t>项下的任何权利、利益、权益（包括单独和整体）为</w:t>
      </w:r>
      <w:r>
        <w:rPr>
          <w:rFonts w:hint="eastAsia" w:ascii="黑体" w:hAnsi="黑体" w:eastAsia="黑体"/>
          <w:sz w:val="18"/>
          <w:szCs w:val="18"/>
        </w:rPr>
        <w:t>投资者</w:t>
      </w:r>
      <w:r>
        <w:rPr>
          <w:rFonts w:ascii="黑体" w:hAnsi="黑体" w:eastAsia="黑体"/>
          <w:sz w:val="18"/>
          <w:szCs w:val="18"/>
        </w:rPr>
        <w:t>和任何第三人的债务设定担保或其他权益</w:t>
      </w:r>
      <w:r>
        <w:rPr>
          <w:rFonts w:ascii="宋体" w:hAnsi="宋体"/>
          <w:sz w:val="18"/>
          <w:szCs w:val="18"/>
        </w:rPr>
        <w:t>。</w:t>
      </w:r>
      <w:r>
        <w:rPr>
          <w:rFonts w:hint="eastAsia" w:ascii="宋体" w:hAnsi="宋体"/>
          <w:sz w:val="18"/>
          <w:szCs w:val="18"/>
        </w:rPr>
        <w:t>若投资者以本产品在兴业银行股份有限公司办理质押贷款业务时，则无需产品管理人同意。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。若投资者使用兴业银行股份有限公司提供的服务开展前述行为时，则无需产品管理人同意。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outlineLvl w:val="1"/>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宋体" w:hAnsi="宋体"/>
          <w:sz w:val="18"/>
          <w:szCs w:val="18"/>
        </w:rPr>
        <w:t>3.</w:t>
      </w:r>
      <w:r>
        <w:rPr>
          <w:rFonts w:ascii="宋体" w:hAnsi="宋体"/>
          <w:sz w:val="18"/>
          <w:szCs w:val="18"/>
        </w:rPr>
        <w:t>产品管理人应按照约定披露产品相关信息</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按照《产品说明书》约定向投资者进行理财产品份额的利益分配并将对应资金划入投资者约定账户后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即视为产品管理人已向投资者完成利益分配和资金的清算分配。因投资者约定账户冻结、挂失、换卡、销户、长期不动户等原因造成账户变更或异常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和自律组织要求，本产品的投资合作机构（包括但不限于本产品所投资的信托计划、资管计划、基金的受托人或管理人、相关投资顾问等，下同）有可能需要向监管机构、自律组织等报送投资者信息，产品管理人将应投资合作机构的申请，在必要范围内向投资合作机构、监管机构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2"/>
    <w:bookmarkEnd w:id="33"/>
    <w:bookmarkEnd w:id="34"/>
    <w:bookmarkEnd w:id="35"/>
    <w:bookmarkEnd w:id="36"/>
    <w:bookmarkEnd w:id="37"/>
    <w:bookmarkEnd w:id="38"/>
    <w:bookmarkEnd w:id="39"/>
    <w:bookmarkEnd w:id="40"/>
    <w:bookmarkEnd w:id="41"/>
    <w:bookmarkEnd w:id="42"/>
    <w:bookmarkEnd w:id="43"/>
    <w:bookmarkEnd w:id="47"/>
    <w:p>
      <w:pPr>
        <w:pStyle w:val="2"/>
        <w:spacing w:before="0" w:after="0"/>
        <w:jc w:val="center"/>
        <w:rPr>
          <w:rFonts w:ascii="Times New Roman"/>
          <w:sz w:val="30"/>
        </w:rPr>
      </w:pPr>
      <w:bookmarkStart w:id="48" w:name="_Toc95897038"/>
      <w:bookmarkStart w:id="49" w:name="_Toc88482732"/>
      <w:bookmarkStart w:id="50" w:name="_Toc6149"/>
      <w:bookmarkStart w:id="51" w:name="_Toc6683"/>
      <w:bookmarkStart w:id="52" w:name="_Toc74065740"/>
      <w:bookmarkStart w:id="53" w:name="_Toc20627"/>
      <w:bookmarkStart w:id="54" w:name="_Toc733"/>
      <w:bookmarkStart w:id="55" w:name="_Toc18631"/>
      <w:bookmarkStart w:id="56" w:name="_Toc545"/>
      <w:bookmarkStart w:id="57" w:name="_Toc22708"/>
      <w:bookmarkStart w:id="58" w:name="_Toc24571"/>
      <w:bookmarkStart w:id="59" w:name="_Toc20318"/>
      <w:bookmarkStart w:id="60" w:name="_Toc13288"/>
      <w:bookmarkStart w:id="61" w:name="_Toc233456272"/>
      <w:bookmarkStart w:id="62" w:name="_Toc258829400"/>
      <w:r>
        <w:rPr>
          <w:rFonts w:hint="eastAsia" w:ascii="Times New Roman"/>
          <w:color w:val="auto"/>
          <w:sz w:val="30"/>
        </w:rPr>
        <w:t>第三条</w:t>
      </w:r>
      <w:r>
        <w:rPr>
          <w:rFonts w:ascii="Times New Roman"/>
          <w:color w:val="auto"/>
          <w:sz w:val="30"/>
        </w:rPr>
        <w:t xml:space="preserve">  不可抗力</w:t>
      </w:r>
      <w:bookmarkEnd w:id="48"/>
      <w:bookmarkEnd w:id="49"/>
    </w:p>
    <w:bookmarkEnd w:id="50"/>
    <w:bookmarkEnd w:id="51"/>
    <w:bookmarkEnd w:id="52"/>
    <w:bookmarkEnd w:id="53"/>
    <w:bookmarkEnd w:id="54"/>
    <w:bookmarkEnd w:id="55"/>
    <w:bookmarkEnd w:id="56"/>
    <w:bookmarkEnd w:id="57"/>
    <w:bookmarkEnd w:id="58"/>
    <w:bookmarkEnd w:id="59"/>
    <w:bookmarkEnd w:id="60"/>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3" w:name="_Toc95897039"/>
      <w:bookmarkStart w:id="64" w:name="_Toc88482733"/>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3"/>
      <w:bookmarkEnd w:id="64"/>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5" w:name="_Toc88482734"/>
      <w:bookmarkStart w:id="66" w:name="_Toc95897040"/>
      <w:r>
        <w:rPr>
          <w:rFonts w:hint="eastAsia" w:ascii="Times New Roman"/>
          <w:color w:val="auto"/>
          <w:sz w:val="30"/>
        </w:rPr>
        <w:t>第五条</w:t>
      </w:r>
      <w:r>
        <w:rPr>
          <w:rFonts w:ascii="Times New Roman"/>
          <w:color w:val="auto"/>
          <w:sz w:val="30"/>
        </w:rPr>
        <w:t xml:space="preserve">  法律适用和争议解决</w:t>
      </w:r>
      <w:bookmarkEnd w:id="65"/>
      <w:bookmarkEnd w:id="66"/>
    </w:p>
    <w:p>
      <w:pPr>
        <w:adjustRightInd w:val="0"/>
        <w:spacing w:line="360" w:lineRule="auto"/>
        <w:ind w:firstLine="360" w:firstLineChars="200"/>
        <w:outlineLvl w:val="1"/>
        <w:rPr>
          <w:color w:val="000000" w:themeColor="text1"/>
          <w:sz w:val="18"/>
          <w:szCs w:val="18"/>
        </w:rPr>
      </w:pPr>
      <w:r>
        <w:rPr>
          <w:rFonts w:hint="eastAsia"/>
          <w:color w:val="000000" w:themeColor="text1"/>
          <w:sz w:val="18"/>
          <w:szCs w:val="18"/>
        </w:rPr>
        <w:t>（一）</w:t>
      </w:r>
      <w:r>
        <w:rPr>
          <w:color w:val="000000" w:themeColor="text1"/>
          <w:sz w:val="18"/>
          <w:szCs w:val="18"/>
        </w:rPr>
        <w:t>法律适用</w:t>
      </w:r>
    </w:p>
    <w:p>
      <w:pPr>
        <w:adjustRightInd w:val="0"/>
        <w:spacing w:line="360" w:lineRule="auto"/>
        <w:ind w:firstLine="360" w:firstLineChars="200"/>
        <w:rPr>
          <w:color w:val="000000" w:themeColor="text1"/>
          <w:sz w:val="18"/>
          <w:szCs w:val="18"/>
        </w:rPr>
      </w:pPr>
      <w:r>
        <w:rPr>
          <w:rFonts w:hint="eastAsia"/>
          <w:color w:val="000000" w:themeColor="text1"/>
          <w:sz w:val="18"/>
          <w:szCs w:val="18"/>
        </w:rPr>
        <w:t>本协议的订立、生效、履行、解除、解释及争议的解决等均适用中华人民共和国法律（为本合同之目的，不包括香港特别行政区、澳门特别行政区和台湾地区的法律）。</w:t>
      </w:r>
    </w:p>
    <w:p>
      <w:pPr>
        <w:adjustRightInd w:val="0"/>
        <w:spacing w:line="360" w:lineRule="auto"/>
        <w:ind w:firstLine="360" w:firstLineChars="200"/>
        <w:outlineLvl w:val="1"/>
        <w:rPr>
          <w:rFonts w:ascii="黑体" w:hAnsi="黑体" w:eastAsia="黑体"/>
          <w:sz w:val="18"/>
          <w:szCs w:val="18"/>
        </w:rPr>
      </w:pPr>
      <w:r>
        <w:rPr>
          <w:rFonts w:hint="eastAsia" w:ascii="黑体" w:hAnsi="黑体" w:eastAsia="黑体"/>
          <w:sz w:val="18"/>
          <w:szCs w:val="18"/>
        </w:rPr>
        <w:t>（二）★争议解决</w:t>
      </w:r>
    </w:p>
    <w:p>
      <w:pPr>
        <w:adjustRightInd w:val="0"/>
        <w:spacing w:line="360" w:lineRule="auto"/>
        <w:ind w:firstLine="360" w:firstLineChars="200"/>
        <w:rPr>
          <w:rFonts w:ascii="黑体" w:hAnsi="黑体" w:eastAsia="黑体"/>
          <w:color w:val="000000" w:themeColor="text1"/>
          <w:sz w:val="18"/>
          <w:szCs w:val="18"/>
        </w:rPr>
      </w:pPr>
      <w:r>
        <w:rPr>
          <w:rFonts w:hint="eastAsia"/>
          <w:color w:val="000000" w:themeColor="text1"/>
          <w:sz w:val="18"/>
          <w:szCs w:val="18"/>
        </w:rPr>
        <w:t>双方在本协议书的执行过程中发生的任何争议，应通过友好协商解决。</w:t>
      </w:r>
      <w:r>
        <w:rPr>
          <w:rFonts w:hint="eastAsia" w:ascii="黑体" w:hAnsi="黑体" w:eastAsia="黑体"/>
          <w:color w:val="000000" w:themeColor="text1"/>
          <w:sz w:val="18"/>
          <w:szCs w:val="18"/>
        </w:rPr>
        <w:t>如友好协商不成的，双方均同意以如下第【壹】种方式解决：</w:t>
      </w:r>
    </w:p>
    <w:p>
      <w:pPr>
        <w:adjustRightInd w:val="0"/>
        <w:spacing w:line="360" w:lineRule="auto"/>
        <w:ind w:firstLine="360" w:firstLineChars="200"/>
        <w:rPr>
          <w:rFonts w:ascii="黑体" w:hAnsi="黑体" w:eastAsia="黑体"/>
          <w:color w:val="000000" w:themeColor="text1"/>
          <w:sz w:val="18"/>
          <w:szCs w:val="18"/>
        </w:rPr>
      </w:pPr>
      <w:r>
        <w:rPr>
          <w:rFonts w:hint="eastAsia" w:ascii="黑体" w:hAnsi="黑体" w:eastAsia="黑体"/>
          <w:color w:val="000000" w:themeColor="text1"/>
          <w:sz w:val="18"/>
          <w:szCs w:val="18"/>
        </w:rPr>
        <w:t>（壹）向产品管理人住所地之人民法院提起诉讼。</w:t>
      </w:r>
    </w:p>
    <w:p>
      <w:pPr>
        <w:adjustRightInd w:val="0"/>
        <w:spacing w:line="360" w:lineRule="auto"/>
        <w:ind w:firstLine="360" w:firstLineChars="200"/>
        <w:rPr>
          <w:rFonts w:ascii="黑体" w:hAnsi="黑体" w:eastAsia="黑体"/>
          <w:color w:val="000000" w:themeColor="text1"/>
          <w:sz w:val="18"/>
          <w:szCs w:val="18"/>
        </w:rPr>
      </w:pPr>
      <w:r>
        <w:rPr>
          <w:rFonts w:hint="eastAsia" w:ascii="黑体" w:hAnsi="黑体" w:eastAsia="黑体"/>
          <w:color w:val="000000" w:themeColor="text1"/>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rPr>
      </w:pPr>
      <w:r>
        <w:rPr>
          <w:rFonts w:ascii="黑体" w:hAnsi="黑体" w:eastAsia="黑体"/>
          <w:color w:val="000000" w:themeColor="text1"/>
          <w:sz w:val="18"/>
          <w:szCs w:val="18"/>
        </w:rPr>
        <w:br w:type="page"/>
      </w:r>
    </w:p>
    <w:p>
      <w:pPr>
        <w:pStyle w:val="2"/>
        <w:spacing w:before="0" w:after="0"/>
        <w:jc w:val="center"/>
        <w:rPr>
          <w:rFonts w:ascii="Times New Roman"/>
          <w:b w:val="0"/>
          <w:sz w:val="30"/>
        </w:rPr>
      </w:pPr>
      <w:bookmarkStart w:id="67" w:name="_Toc95897041"/>
      <w:bookmarkStart w:id="68" w:name="_Toc88482735"/>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67"/>
      <w:bookmarkEnd w:id="68"/>
    </w:p>
    <w:p>
      <w:pPr>
        <w:tabs>
          <w:tab w:val="left" w:pos="704"/>
          <w:tab w:val="left" w:pos="1995"/>
        </w:tabs>
        <w:autoSpaceDE w:val="0"/>
        <w:autoSpaceDN w:val="0"/>
        <w:adjustRightInd w:val="0"/>
        <w:snapToGrid w:val="0"/>
        <w:spacing w:line="360" w:lineRule="auto"/>
        <w:ind w:firstLine="360" w:firstLineChars="200"/>
        <w:outlineLvl w:val="1"/>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outlineLvl w:val="1"/>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9" w:name="_Toc88482736"/>
      <w:bookmarkStart w:id="70" w:name="_Toc77953869"/>
      <w:bookmarkStart w:id="71" w:name="_Toc95897042"/>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69"/>
      <w:bookmarkEnd w:id="70"/>
      <w:bookmarkEnd w:id="71"/>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outlineLvl w:val="1"/>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outlineLvl w:val="1"/>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outlineLvl w:val="2"/>
        <w:rPr>
          <w:rFonts w:ascii="黑体" w:hAnsi="黑体" w:eastAsia="黑体"/>
          <w:sz w:val="18"/>
          <w:szCs w:val="18"/>
        </w:rPr>
      </w:pPr>
      <w:bookmarkStart w:id="72"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72"/>
    </w:p>
    <w:p>
      <w:pPr>
        <w:tabs>
          <w:tab w:val="left" w:pos="704"/>
          <w:tab w:val="left" w:pos="1995"/>
        </w:tabs>
        <w:autoSpaceDE w:val="0"/>
        <w:autoSpaceDN w:val="0"/>
        <w:adjustRightInd w:val="0"/>
        <w:snapToGrid w:val="0"/>
        <w:spacing w:line="360" w:lineRule="auto"/>
        <w:ind w:firstLine="360" w:firstLineChars="200"/>
        <w:outlineLvl w:val="2"/>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61"/>
    <w:bookmarkEnd w:id="62"/>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【】类</w:t>
            </w:r>
            <w:r>
              <w:rPr>
                <w:rFonts w:ascii="宋体" w:hAnsi="宋体" w:cs="宋体"/>
                <w:b/>
                <w:sz w:val="18"/>
                <w:szCs w:val="18"/>
              </w:rPr>
              <w:t>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0" w:hRule="atLeast"/>
        </w:trPr>
        <w:tc>
          <w:tcPr>
            <w:tcW w:w="1403" w:type="dxa"/>
            <w:gridSpan w:val="2"/>
            <w:vMerge w:val="continue"/>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2" w:hRule="atLeast"/>
        </w:trPr>
        <w:tc>
          <w:tcPr>
            <w:tcW w:w="1403" w:type="dxa"/>
            <w:gridSpan w:val="2"/>
            <w:vMerge w:val="continue"/>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rPr>
                <w:rFonts w:ascii="宋体" w:hAnsi="宋体" w:cs="宋体"/>
                <w:b/>
                <w:sz w:val="18"/>
                <w:szCs w:val="18"/>
              </w:rPr>
            </w:pPr>
            <w:r>
              <w:rPr>
                <w:rFonts w:ascii="宋体" w:hAnsi="宋体"/>
                <w:b/>
                <w:bCs/>
                <w:sz w:val="18"/>
                <w:szCs w:val="18"/>
              </w:rPr>
              <w:t>份额：</w:t>
            </w:r>
            <w:r>
              <w:rPr>
                <w:rFonts w:hint="eastAsia" w:ascii="宋体" w:hAnsi="宋体"/>
                <w:b/>
                <w:bCs/>
                <w:sz w:val="18"/>
                <w:szCs w:val="18"/>
              </w:rPr>
              <w:t>小写：</w:t>
            </w:r>
            <w:r>
              <w:rPr>
                <w:rFonts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4"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rFonts w:cs="Arial"/>
                <w:sz w:val="18"/>
                <w:szCs w:val="18"/>
              </w:rPr>
            </w:pPr>
            <w:r>
              <w:rPr>
                <w:rFonts w:hint="eastAsia" w:cs="Arial"/>
                <w:sz w:val="18"/>
                <w:szCs w:val="18"/>
              </w:rPr>
              <w:t>投资者法定代表人或授权代理人（签字或盖章）：</w:t>
            </w:r>
          </w:p>
          <w:p>
            <w:pPr>
              <w:spacing w:line="360" w:lineRule="auto"/>
              <w:rPr>
                <w:b/>
                <w:sz w:val="18"/>
                <w:szCs w:val="18"/>
              </w:rPr>
            </w:pPr>
          </w:p>
          <w:p>
            <w:pPr>
              <w:spacing w:line="360" w:lineRule="auto"/>
              <w:rPr>
                <w:sz w:val="18"/>
                <w:szCs w:val="18"/>
              </w:rPr>
            </w:pPr>
            <w:r>
              <w:rPr>
                <w:rFonts w:hint="eastAsia"/>
                <w:sz w:val="18"/>
                <w:szCs w:val="18"/>
              </w:rPr>
              <w:t>日期：</w:t>
            </w:r>
          </w:p>
        </w:tc>
      </w:tr>
    </w:tbl>
    <w:p>
      <w:pPr>
        <w:spacing w:line="360" w:lineRule="auto"/>
        <w:jc w:val="left"/>
        <w:rPr>
          <w:rFonts w:hint="eastAsia" w:ascii="宋体" w:hAnsi="宋体"/>
          <w:b/>
          <w:sz w:val="18"/>
          <w:szCs w:val="18"/>
        </w:rPr>
        <w:sectPr>
          <w:headerReference r:id="rId5" w:type="default"/>
          <w:footerReference r:id="rId6" w:type="default"/>
          <w:pgSz w:w="11906" w:h="16838"/>
          <w:pgMar w:top="1440" w:right="1800" w:bottom="1440" w:left="1800" w:header="567" w:footer="992" w:gutter="0"/>
          <w:pgNumType w:start="1"/>
          <w:cols w:space="720" w:num="1"/>
          <w:docGrid w:type="lines" w:linePitch="312" w:charSpace="0"/>
        </w:sect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兴银理财【稳添利最短持有期日开固收类】理财产品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r>
        <w:rPr>
          <w:rStyle w:val="27"/>
          <w:rFonts w:hint="eastAsia" w:ascii="宋体" w:hAnsi="宋体" w:cs="Times New Roman"/>
          <w:sz w:val="32"/>
          <w:szCs w:val="32"/>
        </w:rPr>
        <w:t>【202</w:t>
      </w:r>
      <w:r>
        <w:rPr>
          <w:rStyle w:val="27"/>
          <w:rFonts w:ascii="宋体" w:hAnsi="宋体" w:cs="Times New Roman"/>
          <w:sz w:val="32"/>
          <w:szCs w:val="32"/>
        </w:rPr>
        <w:t>3</w:t>
      </w:r>
      <w:r>
        <w:rPr>
          <w:rStyle w:val="27"/>
          <w:rFonts w:hint="eastAsia" w:ascii="宋体" w:hAnsi="宋体" w:cs="Times New Roman"/>
          <w:sz w:val="32"/>
          <w:szCs w:val="32"/>
        </w:rPr>
        <w:t>】年【</w:t>
      </w:r>
      <w:r>
        <w:rPr>
          <w:rStyle w:val="27"/>
          <w:rFonts w:ascii="宋体" w:hAnsi="宋体" w:cs="Times New Roman"/>
          <w:sz w:val="32"/>
          <w:szCs w:val="32"/>
        </w:rPr>
        <w:t>5</w:t>
      </w:r>
      <w:r>
        <w:rPr>
          <w:rStyle w:val="27"/>
          <w:rFonts w:hint="eastAsia" w:ascii="宋体" w:hAnsi="宋体" w:cs="Times New Roman"/>
          <w:sz w:val="32"/>
          <w:szCs w:val="32"/>
        </w:rPr>
        <w:t>】月</w:t>
      </w:r>
    </w:p>
    <w:p>
      <w:pPr>
        <w:adjustRightInd w:val="0"/>
        <w:spacing w:line="360" w:lineRule="auto"/>
        <w:jc w:val="center"/>
        <w:rPr>
          <w:rStyle w:val="27"/>
          <w:rFonts w:ascii="宋体" w:hAnsi="宋体"/>
          <w:sz w:val="32"/>
          <w:szCs w:val="32"/>
        </w:rPr>
      </w:pPr>
    </w:p>
    <w:p>
      <w:pPr>
        <w:pStyle w:val="43"/>
        <w:spacing w:line="360" w:lineRule="auto"/>
        <w:rPr>
          <w:rFonts w:hAnsi="宋体"/>
          <w:sz w:val="28"/>
          <w:szCs w:val="28"/>
        </w:rPr>
        <w:sectPr>
          <w:footerReference r:id="rId9" w:type="first"/>
          <w:headerReference r:id="rId7" w:type="default"/>
          <w:footerReference r:id="rId8" w:type="default"/>
          <w:pgSz w:w="11906" w:h="16838"/>
          <w:pgMar w:top="1276" w:right="1800" w:bottom="1418" w:left="1800" w:header="567" w:footer="850" w:gutter="0"/>
          <w:cols w:space="425" w:num="1"/>
          <w:titlePg/>
          <w:docGrid w:type="lines" w:linePitch="312" w:charSpace="0"/>
        </w:sectPr>
      </w:pP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69"/>
            <w:spacing w:line="360" w:lineRule="auto"/>
            <w:jc w:val="center"/>
          </w:pPr>
          <w:bookmarkStart w:id="73" w:name="_Toc78276587"/>
          <w:r>
            <w:rPr>
              <w:lang w:val="zh-CN"/>
            </w:rPr>
            <w:t>目录</w:t>
          </w:r>
        </w:p>
        <w:p>
          <w:pPr>
            <w:pStyle w:val="16"/>
            <w:tabs>
              <w:tab w:val="right" w:leader="dot" w:pos="8306"/>
              <w:tab w:val="clear" w:pos="8296"/>
            </w:tabs>
          </w:pPr>
          <w:r>
            <w:fldChar w:fldCharType="begin"/>
          </w:r>
          <w:r>
            <w:instrText xml:space="preserve"> TOC \o "1-3" \h \z \u </w:instrText>
          </w:r>
          <w:r>
            <w:fldChar w:fldCharType="separate"/>
          </w:r>
          <w:r>
            <w:fldChar w:fldCharType="begin"/>
          </w:r>
          <w:r>
            <w:instrText xml:space="preserve"> HYPERLINK \l "_Toc21407" </w:instrText>
          </w:r>
          <w:r>
            <w:fldChar w:fldCharType="separate"/>
          </w:r>
          <w:r>
            <w:rPr>
              <w:rFonts w:ascii="Times New Roman"/>
            </w:rPr>
            <w:t>第</w:t>
          </w:r>
          <w:r>
            <w:rPr>
              <w:rFonts w:hint="eastAsia" w:ascii="Times New Roman"/>
            </w:rPr>
            <w:t xml:space="preserve">一条 </w:t>
          </w:r>
          <w:r>
            <w:rPr>
              <w:rFonts w:ascii="Times New Roman"/>
            </w:rPr>
            <w:t xml:space="preserve"> 释义</w:t>
          </w:r>
          <w:r>
            <w:tab/>
          </w:r>
          <w:r>
            <w:fldChar w:fldCharType="begin"/>
          </w:r>
          <w:r>
            <w:instrText xml:space="preserve"> PAGEREF _Toc21407 \h </w:instrText>
          </w:r>
          <w:r>
            <w:fldChar w:fldCharType="separate"/>
          </w:r>
          <w:r>
            <w:t>1</w:t>
          </w:r>
          <w:r>
            <w:fldChar w:fldCharType="end"/>
          </w:r>
          <w:r>
            <w:fldChar w:fldCharType="end"/>
          </w:r>
        </w:p>
        <w:p>
          <w:pPr>
            <w:pStyle w:val="16"/>
            <w:tabs>
              <w:tab w:val="right" w:leader="dot" w:pos="8306"/>
              <w:tab w:val="clear" w:pos="8296"/>
            </w:tabs>
          </w:pPr>
          <w:r>
            <w:fldChar w:fldCharType="begin"/>
          </w:r>
          <w:r>
            <w:instrText xml:space="preserve"> HYPERLINK \l "_Toc164" </w:instrText>
          </w:r>
          <w:r>
            <w:fldChar w:fldCharType="separate"/>
          </w:r>
          <w:r>
            <w:rPr>
              <w:rFonts w:hint="eastAsia" w:hAnsi="宋体"/>
              <w:szCs w:val="28"/>
            </w:rPr>
            <w:t>第二条  理财产品基本情况</w:t>
          </w:r>
          <w:r>
            <w:tab/>
          </w:r>
          <w:r>
            <w:fldChar w:fldCharType="begin"/>
          </w:r>
          <w:r>
            <w:instrText xml:space="preserve"> PAGEREF _Toc164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"_Toc28202" </w:instrText>
          </w:r>
          <w:r>
            <w:fldChar w:fldCharType="separate"/>
          </w:r>
          <w:r>
            <w:rPr>
              <w:rFonts w:ascii="Times New Roman"/>
            </w:rPr>
            <w:t>第</w:t>
          </w:r>
          <w:r>
            <w:rPr>
              <w:rFonts w:hint="eastAsia" w:ascii="Times New Roman"/>
            </w:rPr>
            <w:t>三条</w:t>
          </w:r>
          <w:r>
            <w:rPr>
              <w:rFonts w:ascii="Times New Roman"/>
            </w:rPr>
            <w:t xml:space="preserve">  </w:t>
          </w:r>
          <w:r>
            <w:rPr>
              <w:rFonts w:hint="eastAsia" w:ascii="Times New Roman"/>
            </w:rPr>
            <w:t>理财产品的认购</w:t>
          </w:r>
          <w:r>
            <w:tab/>
          </w:r>
          <w:r>
            <w:fldChar w:fldCharType="begin"/>
          </w:r>
          <w:r>
            <w:instrText xml:space="preserve"> PAGEREF _Toc28202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"_Toc25541" </w:instrText>
          </w:r>
          <w:r>
            <w:fldChar w:fldCharType="separate"/>
          </w:r>
          <w:r>
            <w:rPr>
              <w:rFonts w:hint="eastAsia" w:ascii="Times New Roman"/>
            </w:rPr>
            <w:t xml:space="preserve">第四条 </w:t>
          </w:r>
          <w:r>
            <w:rPr>
              <w:rFonts w:ascii="Times New Roman"/>
            </w:rPr>
            <w:t xml:space="preserve"> </w:t>
          </w:r>
          <w:r>
            <w:rPr>
              <w:rFonts w:hint="eastAsia" w:ascii="Times New Roman"/>
            </w:rPr>
            <w:t>理财产品的申购与赎回</w:t>
          </w:r>
          <w:r>
            <w:tab/>
          </w:r>
          <w:r>
            <w:fldChar w:fldCharType="begin"/>
          </w:r>
          <w:r>
            <w:instrText xml:space="preserve"> PAGEREF _Toc25541 \h </w:instrText>
          </w:r>
          <w:r>
            <w:fldChar w:fldCharType="separate"/>
          </w:r>
          <w:r>
            <w:t>15</w:t>
          </w:r>
          <w:r>
            <w:fldChar w:fldCharType="end"/>
          </w:r>
          <w:r>
            <w:fldChar w:fldCharType="end"/>
          </w:r>
        </w:p>
        <w:p>
          <w:pPr>
            <w:pStyle w:val="16"/>
            <w:tabs>
              <w:tab w:val="right" w:leader="dot" w:pos="8306"/>
              <w:tab w:val="clear" w:pos="8296"/>
            </w:tabs>
          </w:pPr>
          <w:r>
            <w:fldChar w:fldCharType="begin"/>
          </w:r>
          <w:r>
            <w:instrText xml:space="preserve"> HYPERLINK \l "_Toc13469" </w:instrText>
          </w:r>
          <w:r>
            <w:fldChar w:fldCharType="separate"/>
          </w:r>
          <w:r>
            <w:rPr>
              <w:rFonts w:ascii="Times New Roman"/>
            </w:rPr>
            <w:t>第</w:t>
          </w:r>
          <w:r>
            <w:rPr>
              <w:rFonts w:hint="eastAsia" w:ascii="Times New Roman"/>
            </w:rPr>
            <w:t>五条</w:t>
          </w:r>
          <w:r>
            <w:rPr>
              <w:rFonts w:ascii="Times New Roman"/>
            </w:rPr>
            <w:t xml:space="preserve">  </w:t>
          </w:r>
          <w:r>
            <w:rPr>
              <w:rFonts w:hint="eastAsia" w:ascii="Times New Roman"/>
            </w:rPr>
            <w:t>理财产品的投资</w:t>
          </w:r>
          <w:r>
            <w:tab/>
          </w:r>
          <w:r>
            <w:fldChar w:fldCharType="begin"/>
          </w:r>
          <w:r>
            <w:instrText xml:space="preserve"> PAGEREF _Toc13469 \h </w:instrText>
          </w:r>
          <w:r>
            <w:fldChar w:fldCharType="separate"/>
          </w:r>
          <w:r>
            <w:t>19</w:t>
          </w:r>
          <w:r>
            <w:fldChar w:fldCharType="end"/>
          </w:r>
          <w:r>
            <w:fldChar w:fldCharType="end"/>
          </w:r>
        </w:p>
        <w:p>
          <w:pPr>
            <w:pStyle w:val="16"/>
            <w:tabs>
              <w:tab w:val="right" w:leader="dot" w:pos="8306"/>
              <w:tab w:val="clear" w:pos="8296"/>
            </w:tabs>
          </w:pPr>
          <w:r>
            <w:fldChar w:fldCharType="begin"/>
          </w:r>
          <w:r>
            <w:instrText xml:space="preserve"> HYPERLINK \l "_Toc10381" </w:instrText>
          </w:r>
          <w:r>
            <w:fldChar w:fldCharType="separate"/>
          </w:r>
          <w:r>
            <w:rPr>
              <w:rFonts w:ascii="Times New Roman"/>
            </w:rPr>
            <w:t>第</w:t>
          </w:r>
          <w:r>
            <w:rPr>
              <w:rFonts w:hint="eastAsia" w:ascii="Times New Roman"/>
            </w:rPr>
            <w:t>六条</w:t>
          </w:r>
          <w:r>
            <w:rPr>
              <w:rFonts w:ascii="Times New Roman"/>
            </w:rPr>
            <w:t xml:space="preserve">  </w:t>
          </w:r>
          <w:r>
            <w:rPr>
              <w:rFonts w:hint="eastAsia" w:ascii="Times New Roman"/>
            </w:rPr>
            <w:t>理财产品的资产</w:t>
          </w:r>
          <w:r>
            <w:tab/>
          </w:r>
          <w:r>
            <w:fldChar w:fldCharType="begin"/>
          </w:r>
          <w:r>
            <w:instrText xml:space="preserve"> PAGEREF _Toc10381 \h </w:instrText>
          </w:r>
          <w:r>
            <w:fldChar w:fldCharType="separate"/>
          </w:r>
          <w:r>
            <w:t>23</w:t>
          </w:r>
          <w:r>
            <w:fldChar w:fldCharType="end"/>
          </w:r>
          <w:r>
            <w:fldChar w:fldCharType="end"/>
          </w:r>
        </w:p>
        <w:p>
          <w:pPr>
            <w:pStyle w:val="16"/>
            <w:tabs>
              <w:tab w:val="right" w:leader="dot" w:pos="8306"/>
              <w:tab w:val="clear" w:pos="8296"/>
            </w:tabs>
          </w:pPr>
          <w:r>
            <w:fldChar w:fldCharType="begin"/>
          </w:r>
          <w:r>
            <w:instrText xml:space="preserve"> HYPERLINK \l "_Toc26375" </w:instrText>
          </w:r>
          <w:r>
            <w:fldChar w:fldCharType="separate"/>
          </w:r>
          <w:r>
            <w:rPr>
              <w:rFonts w:hint="eastAsia" w:ascii="Times New Roman"/>
              <w:szCs w:val="28"/>
            </w:rPr>
            <w:t>第七条</w:t>
          </w:r>
          <w:r>
            <w:rPr>
              <w:rFonts w:ascii="Times New Roman"/>
              <w:szCs w:val="28"/>
            </w:rPr>
            <w:t xml:space="preserve">  </w:t>
          </w:r>
          <w:r>
            <w:rPr>
              <w:rFonts w:hint="eastAsia" w:ascii="Times New Roman"/>
              <w:szCs w:val="28"/>
            </w:rPr>
            <w:t>理财产品项下资产的估值</w:t>
          </w:r>
          <w:r>
            <w:tab/>
          </w:r>
          <w:r>
            <w:fldChar w:fldCharType="begin"/>
          </w:r>
          <w:r>
            <w:instrText xml:space="preserve"> PAGEREF _Toc26375 \h </w:instrText>
          </w:r>
          <w:r>
            <w:fldChar w:fldCharType="separate"/>
          </w:r>
          <w:r>
            <w:t>24</w:t>
          </w:r>
          <w:r>
            <w:fldChar w:fldCharType="end"/>
          </w:r>
          <w:r>
            <w:fldChar w:fldCharType="end"/>
          </w:r>
        </w:p>
        <w:p>
          <w:pPr>
            <w:pStyle w:val="16"/>
            <w:tabs>
              <w:tab w:val="right" w:leader="dot" w:pos="8306"/>
              <w:tab w:val="clear" w:pos="8296"/>
            </w:tabs>
          </w:pPr>
          <w:r>
            <w:fldChar w:fldCharType="begin"/>
          </w:r>
          <w:r>
            <w:instrText xml:space="preserve"> HYPERLINK \l "_Toc13230" </w:instrText>
          </w:r>
          <w:r>
            <w:fldChar w:fldCharType="separate"/>
          </w:r>
          <w:r>
            <w:rPr>
              <w:rFonts w:ascii="Times New Roman"/>
            </w:rPr>
            <w:t>第</w:t>
          </w:r>
          <w:r>
            <w:rPr>
              <w:rFonts w:hint="eastAsia" w:ascii="Times New Roman"/>
            </w:rPr>
            <w:t>八条</w:t>
          </w:r>
          <w:r>
            <w:rPr>
              <w:rFonts w:ascii="Times New Roman"/>
            </w:rPr>
            <w:t xml:space="preserve">  </w:t>
          </w:r>
          <w:r>
            <w:rPr>
              <w:rFonts w:hint="eastAsia" w:ascii="Times New Roman"/>
            </w:rPr>
            <w:t>理财产品的利益分配</w:t>
          </w:r>
          <w:r>
            <w:tab/>
          </w:r>
          <w:r>
            <w:fldChar w:fldCharType="begin"/>
          </w:r>
          <w:r>
            <w:instrText xml:space="preserve"> PAGEREF _Toc13230 \h </w:instrText>
          </w:r>
          <w:r>
            <w:fldChar w:fldCharType="separate"/>
          </w:r>
          <w:r>
            <w:t>28</w:t>
          </w:r>
          <w:r>
            <w:fldChar w:fldCharType="end"/>
          </w:r>
          <w:r>
            <w:fldChar w:fldCharType="end"/>
          </w:r>
        </w:p>
        <w:p>
          <w:pPr>
            <w:pStyle w:val="16"/>
            <w:tabs>
              <w:tab w:val="right" w:leader="dot" w:pos="8306"/>
              <w:tab w:val="clear" w:pos="8296"/>
            </w:tabs>
          </w:pPr>
          <w:r>
            <w:fldChar w:fldCharType="begin"/>
          </w:r>
          <w:r>
            <w:instrText xml:space="preserve"> HYPERLINK \l "_Toc28842" </w:instrText>
          </w:r>
          <w:r>
            <w:fldChar w:fldCharType="separate"/>
          </w:r>
          <w:r>
            <w:rPr>
              <w:rFonts w:ascii="Times New Roman"/>
            </w:rPr>
            <w:t>第</w:t>
          </w:r>
          <w:r>
            <w:rPr>
              <w:rFonts w:hint="eastAsia" w:ascii="Times New Roman"/>
            </w:rPr>
            <w:t>九条</w:t>
          </w:r>
          <w:r>
            <w:rPr>
              <w:rFonts w:ascii="Times New Roman"/>
            </w:rPr>
            <w:t xml:space="preserve">  </w:t>
          </w:r>
          <w:r>
            <w:rPr>
              <w:rFonts w:hint="eastAsia" w:ascii="Times New Roman"/>
            </w:rPr>
            <w:t>理财产品的费用与税收</w:t>
          </w:r>
          <w:r>
            <w:tab/>
          </w:r>
          <w:r>
            <w:fldChar w:fldCharType="begin"/>
          </w:r>
          <w:r>
            <w:instrText xml:space="preserve"> PAGEREF _Toc28842 \h </w:instrText>
          </w:r>
          <w:r>
            <w:fldChar w:fldCharType="separate"/>
          </w:r>
          <w:r>
            <w:t>29</w:t>
          </w:r>
          <w:r>
            <w:fldChar w:fldCharType="end"/>
          </w:r>
          <w:r>
            <w:fldChar w:fldCharType="end"/>
          </w:r>
        </w:p>
        <w:p>
          <w:pPr>
            <w:pStyle w:val="16"/>
            <w:tabs>
              <w:tab w:val="right" w:leader="dot" w:pos="8306"/>
              <w:tab w:val="clear" w:pos="8296"/>
            </w:tabs>
          </w:pPr>
          <w:r>
            <w:fldChar w:fldCharType="begin"/>
          </w:r>
          <w:r>
            <w:instrText xml:space="preserve"> HYPERLINK \l "_Toc24403" </w:instrText>
          </w:r>
          <w:r>
            <w:fldChar w:fldCharType="separate"/>
          </w:r>
          <w:r>
            <w:rPr>
              <w:rFonts w:hint="eastAsia"/>
            </w:rPr>
            <w:t>第十条</w:t>
          </w:r>
          <w:r>
            <w:t xml:space="preserve">  </w:t>
          </w:r>
          <w:r>
            <w:rPr>
              <w:rFonts w:hint="eastAsia"/>
            </w:rPr>
            <w:t>理财产品的终止与清算</w:t>
          </w:r>
          <w:r>
            <w:tab/>
          </w:r>
          <w:r>
            <w:fldChar w:fldCharType="begin"/>
          </w:r>
          <w:r>
            <w:instrText xml:space="preserve"> PAGEREF _Toc24403 \h </w:instrText>
          </w:r>
          <w:r>
            <w:fldChar w:fldCharType="separate"/>
          </w:r>
          <w:r>
            <w:t>32</w:t>
          </w:r>
          <w:r>
            <w:fldChar w:fldCharType="end"/>
          </w:r>
          <w:r>
            <w:fldChar w:fldCharType="end"/>
          </w:r>
        </w:p>
        <w:p>
          <w:pPr>
            <w:pStyle w:val="16"/>
            <w:tabs>
              <w:tab w:val="right" w:leader="dot" w:pos="8306"/>
              <w:tab w:val="clear" w:pos="8296"/>
            </w:tabs>
          </w:pPr>
          <w:r>
            <w:fldChar w:fldCharType="begin"/>
          </w:r>
          <w:r>
            <w:instrText xml:space="preserve"> HYPERLINK \l "_Toc14127" </w:instrText>
          </w:r>
          <w:r>
            <w:fldChar w:fldCharType="separate"/>
          </w:r>
          <w:r>
            <w:rPr>
              <w:rFonts w:hint="eastAsia" w:ascii="Times New Roman"/>
              <w:szCs w:val="28"/>
            </w:rPr>
            <w:t>第十一条</w:t>
          </w:r>
          <w:r>
            <w:rPr>
              <w:rFonts w:ascii="Times New Roman"/>
              <w:szCs w:val="28"/>
            </w:rPr>
            <w:t xml:space="preserve">  </w:t>
          </w:r>
          <w:r>
            <w:rPr>
              <w:rFonts w:hint="eastAsia" w:ascii="Times New Roman"/>
              <w:szCs w:val="28"/>
            </w:rPr>
            <w:t>理财产品的信息披露</w:t>
          </w:r>
          <w:r>
            <w:tab/>
          </w:r>
          <w:r>
            <w:fldChar w:fldCharType="begin"/>
          </w:r>
          <w:r>
            <w:instrText xml:space="preserve"> PAGEREF _Toc14127 \h </w:instrText>
          </w:r>
          <w:r>
            <w:fldChar w:fldCharType="separate"/>
          </w:r>
          <w:r>
            <w:t>34</w:t>
          </w:r>
          <w:r>
            <w:fldChar w:fldCharType="end"/>
          </w:r>
          <w:r>
            <w:fldChar w:fldCharType="end"/>
          </w:r>
        </w:p>
        <w:p>
          <w:pPr>
            <w:pStyle w:val="16"/>
            <w:tabs>
              <w:tab w:val="right" w:leader="dot" w:pos="8306"/>
              <w:tab w:val="clear" w:pos="8296"/>
            </w:tabs>
          </w:pPr>
          <w:r>
            <w:fldChar w:fldCharType="begin"/>
          </w:r>
          <w:r>
            <w:instrText xml:space="preserve"> HYPERLINK \l "_Toc17924" </w:instrText>
          </w:r>
          <w:r>
            <w:fldChar w:fldCharType="separate"/>
          </w:r>
          <w:r>
            <w:rPr>
              <w:rFonts w:hint="eastAsia" w:ascii="Times New Roman"/>
            </w:rPr>
            <w:t>第十二条</w:t>
          </w:r>
          <w:r>
            <w:rPr>
              <w:rFonts w:ascii="Times New Roman"/>
            </w:rPr>
            <w:t xml:space="preserve">  </w:t>
          </w:r>
          <w:r>
            <w:rPr>
              <w:rFonts w:hint="eastAsia" w:ascii="Times New Roman"/>
            </w:rPr>
            <w:t>理财产品</w:t>
          </w:r>
          <w:r>
            <w:rPr>
              <w:rFonts w:ascii="Times New Roman"/>
            </w:rPr>
            <w:t>的风险揭示</w:t>
          </w:r>
          <w:r>
            <w:tab/>
          </w:r>
          <w:r>
            <w:fldChar w:fldCharType="begin"/>
          </w:r>
          <w:r>
            <w:instrText xml:space="preserve"> PAGEREF _Toc17924 \h </w:instrText>
          </w:r>
          <w:r>
            <w:fldChar w:fldCharType="separate"/>
          </w:r>
          <w:r>
            <w:t>37</w:t>
          </w:r>
          <w:r>
            <w:fldChar w:fldCharType="end"/>
          </w:r>
          <w:r>
            <w:fldChar w:fldCharType="end"/>
          </w:r>
        </w:p>
        <w:p>
          <w:pPr>
            <w:spacing w:line="360" w:lineRule="auto"/>
          </w:pPr>
          <w:r>
            <w:fldChar w:fldCharType="end"/>
          </w:r>
        </w:p>
      </w:sdtContent>
    </w:sdt>
    <w:p>
      <w:pPr>
        <w:widowControl/>
        <w:spacing w:line="360" w:lineRule="auto"/>
        <w:jc w:val="left"/>
        <w:rPr>
          <w:rFonts w:ascii="Times New Roman"/>
          <w:sz w:val="30"/>
        </w:rPr>
      </w:pPr>
    </w:p>
    <w:p>
      <w:pPr>
        <w:widowControl/>
        <w:spacing w:line="360" w:lineRule="auto"/>
        <w:jc w:val="left"/>
        <w:rPr>
          <w:rFonts w:ascii="Times New Roman"/>
          <w:sz w:val="30"/>
        </w:rPr>
        <w:sectPr>
          <w:footerReference r:id="rId10" w:type="default"/>
          <w:pgSz w:w="11906" w:h="16838"/>
          <w:pgMar w:top="1276" w:right="1800" w:bottom="1418" w:left="1800" w:header="567" w:footer="850" w:gutter="0"/>
          <w:cols w:space="425" w:num="1"/>
          <w:docGrid w:type="lines" w:linePitch="312" w:charSpace="0"/>
        </w:sectPr>
      </w:pPr>
    </w:p>
    <w:p>
      <w:pPr>
        <w:pStyle w:val="2"/>
        <w:spacing w:before="0" w:after="0" w:line="360" w:lineRule="auto"/>
        <w:jc w:val="center"/>
        <w:rPr>
          <w:rFonts w:ascii="Times New Roman"/>
          <w:sz w:val="30"/>
        </w:rPr>
      </w:pPr>
      <w:bookmarkStart w:id="74" w:name="_Toc92377130"/>
      <w:bookmarkStart w:id="75" w:name="_Toc21407"/>
      <w:r>
        <w:rPr>
          <w:rFonts w:ascii="Times New Roman"/>
          <w:sz w:val="30"/>
        </w:rPr>
        <w:t>第</w:t>
      </w:r>
      <w:r>
        <w:rPr>
          <w:rFonts w:hint="eastAsia" w:ascii="Times New Roman"/>
          <w:sz w:val="30"/>
        </w:rPr>
        <w:t xml:space="preserve">一条 </w:t>
      </w:r>
      <w:r>
        <w:rPr>
          <w:rFonts w:ascii="Times New Roman"/>
          <w:sz w:val="30"/>
        </w:rPr>
        <w:t xml:space="preserve"> 释义</w:t>
      </w:r>
      <w:bookmarkEnd w:id="73"/>
      <w:bookmarkEnd w:id="74"/>
      <w:bookmarkEnd w:id="75"/>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（一）在本产品投资协议书中，除非上下文另有明确约定，下列用词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r>
        <w:rPr>
          <w:rFonts w:asciiTheme="majorEastAsia" w:hAnsiTheme="majorEastAsia" w:eastAsiaTheme="majorEastAsia"/>
          <w:bCs/>
          <w:color w:val="auto"/>
          <w:sz w:val="18"/>
          <w:szCs w:val="18"/>
        </w:rPr>
        <w:t xml:space="preserve">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2）提供单只或多只理财产品投资建议；3）为投资者办理理财产品认购、申购和赎回；4）银保监会认定的其他业务活动。各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43"/>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43"/>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：指产品管理人向投资者提供的，用于描述产品特征，约定权利义务的文件。具体指《兴银理财【稳添利最短持有期日开固收类】理财产品销售文件》，包括《投资协议书》、《产品说明书》、《（代理）销售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《投资协议书》：指管理人统一编制的《兴银理财【稳添利最短持有期日开固收类】理财产品投资协议书》，以及对该文件的有效修改或补充。</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）《产品说明书》：指管理人统一编制的《兴银理财【稳添利最短持有期日开固收类】理财产品产品说明书》，以及对该文件的有效修改或补充。</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（4）《（代理）销售协议书》：指管理人统一编制的《兴银理财【稳添利最短持有期日开固收类】理财产品（代理）销售协议书》或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的《兴银理财【稳添利最短持有期日开固收类】理财产品（代理）销售协议书》（文件名称以代理销售机构实际编制为准），以及对该文件的有效修改或补充。</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）《风险揭示书》：指管理人统一编制的《兴银理财【稳添利最短持有期日开固收类】理财产品风险揭示书》或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的《兴银理财【稳添利最短持有期日开固收类】理财产品风险揭示书》（文件名称以代理销售机构实际编制为准），以及对该文件的有效修改或补充。</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）《投资者权益须知》：指管理人统一编制的《兴银理财【稳添利最短持有期日开固收类】理财产品投资者权益须知》或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《兴银理财【稳添利最短持有期日开固收类】理财产品投资者权益须知》（文件名称以代理销售机构实际编制为准），以及对该文件的有效修改或补充。</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，为在理财产品销售管理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，为每类份额类别</w:t>
      </w:r>
      <w:r>
        <w:rPr>
          <w:rFonts w:asciiTheme="majorEastAsia" w:hAnsiTheme="majorEastAsia" w:eastAsiaTheme="majorEastAsia"/>
          <w:bCs/>
          <w:color w:val="auto"/>
          <w:sz w:val="18"/>
          <w:szCs w:val="18"/>
        </w:rPr>
        <w:t>设置</w:t>
      </w:r>
      <w:r>
        <w:rPr>
          <w:rFonts w:hint="eastAsia" w:asciiTheme="majorEastAsia" w:hAnsiTheme="majorEastAsia" w:eastAsiaTheme="majorEastAsia"/>
          <w:bCs/>
          <w:color w:val="auto"/>
          <w:sz w:val="18"/>
          <w:szCs w:val="18"/>
        </w:rPr>
        <w:t>的唯一性内部识别码。</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）适合投资者：指适合购买本产品的投资者类型。</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理财产品负债总值是指理财产品运作及融资时形成的负债价值总和，包括融资资金本息、应付各项费用（包括托管费、认购费、固定管理费、业绩报酬、其他费用等）、应付税金及其他应付款项等。</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10</w:t>
      </w:r>
      <w:r>
        <w:rPr>
          <w:rFonts w:hint="eastAsia" w:asciiTheme="majorEastAsia" w:hAnsiTheme="majorEastAsia" w:eastAsiaTheme="majorEastAsia"/>
          <w:bCs/>
          <w:color w:val="auto"/>
          <w:sz w:val="18"/>
          <w:szCs w:val="18"/>
        </w:rPr>
        <w:t>）理财产品估值：指计算评估理财产品资产和理财产品负债的价值，以确定理财产品份额净值的过程。</w:t>
      </w:r>
    </w:p>
    <w:p>
      <w:pPr>
        <w:pStyle w:val="43"/>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11</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指管理人基于过往投资经验及对产品存续期投资市场波动的预判而对本产品所设定的投资目标。</w:t>
      </w:r>
      <w:r>
        <w:rPr>
          <w:rFonts w:hint="eastAsia" w:ascii="黑体" w:hAnsi="黑体" w:eastAsia="黑体"/>
          <w:bCs/>
          <w:color w:val="auto"/>
          <w:sz w:val="18"/>
          <w:szCs w:val="18"/>
        </w:rPr>
        <w:t>业绩比较基准不代表理财产品未来表现，不等于理财产品实际收益，不作为产品收益的业绩保证，投资须谨慎。</w:t>
      </w:r>
    </w:p>
    <w:p>
      <w:pPr>
        <w:pStyle w:val="43"/>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12</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指管理人收取超额业绩报酬的参照相关</w:t>
      </w:r>
      <w:r>
        <w:rPr>
          <w:rFonts w:asciiTheme="majorEastAsia" w:hAnsiTheme="majorEastAsia" w:eastAsiaTheme="majorEastAsia"/>
          <w:bCs/>
          <w:color w:val="auto"/>
          <w:sz w:val="18"/>
          <w:szCs w:val="18"/>
        </w:rPr>
        <w:t>数值标准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业绩报酬计提基准不代表理财产品未来表现，不等于理财产品实际收益，不作为产品收益的业绩保证，投资须谨慎。</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13</w:t>
      </w:r>
      <w:r>
        <w:rPr>
          <w:rFonts w:hint="eastAsia" w:asciiTheme="majorEastAsia" w:hAnsiTheme="majorEastAsia" w:eastAsiaTheme="majorEastAsia"/>
          <w:bCs/>
          <w:color w:val="auto"/>
          <w:sz w:val="18"/>
          <w:szCs w:val="18"/>
        </w:rPr>
        <w:t>）</w:t>
      </w:r>
      <w:r>
        <w:rPr>
          <w:rFonts w:hint="eastAsia" w:ascii="黑体" w:hAnsi="黑体" w:eastAsia="黑体" w:cs="仿宋_GB2312"/>
          <w:bCs/>
          <w:color w:val="auto"/>
          <w:sz w:val="18"/>
          <w:szCs w:val="18"/>
        </w:rPr>
        <w:t>★</w:t>
      </w:r>
      <w:r>
        <w:rPr>
          <w:rFonts w:hint="eastAsia" w:asciiTheme="majorEastAsia" w:hAnsiTheme="majorEastAsia" w:eastAsiaTheme="majorEastAsia"/>
          <w:bCs/>
          <w:color w:val="auto"/>
          <w:sz w:val="18"/>
          <w:szCs w:val="18"/>
        </w:rPr>
        <w:t>理财产品利益/理财利益：指投资者因持有理财产品份额，按照销售文件约定取得或有权取得的理财产品管理人分配的理财产品资产。</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14）利益分配：指产品管理人向投资者进行理财产品利益分配。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15）期间分配：指在理财产品终止日（不含当日）前的理财产品利益分配。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16）终止分配：指在理财产品终止日当日及之后的理财产品利益分配。</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17</w:t>
      </w:r>
      <w:r>
        <w:rPr>
          <w:rFonts w:hint="eastAsia" w:asciiTheme="majorEastAsia" w:hAnsiTheme="majorEastAsia" w:eastAsiaTheme="majorEastAsia"/>
          <w:bCs/>
          <w:color w:val="auto"/>
          <w:sz w:val="18"/>
          <w:szCs w:val="18"/>
        </w:rPr>
        <w:t>）认购：指投资者根据本协议约定在认购期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募集期内申请购买本产品理财产品份额的行为。</w:t>
      </w:r>
      <w:r>
        <w:rPr>
          <w:rFonts w:asciiTheme="majorEastAsia" w:hAnsiTheme="majorEastAsia" w:eastAsiaTheme="majorEastAsia"/>
          <w:bCs/>
          <w:color w:val="auto"/>
          <w:sz w:val="18"/>
          <w:szCs w:val="18"/>
        </w:rPr>
        <w:t xml:space="preserve"> </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指理财产品成立后，投资者申请购买理财产品份额的行为。</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指理财产品成立后，投资者申请赎回理财产品份额的行为，即投资者申请将理财产品份额兑换为现金。</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20</w:t>
      </w:r>
      <w:r>
        <w:rPr>
          <w:rFonts w:hint="eastAsia" w:asciiTheme="minorEastAsia" w:hAnsiTheme="minorEastAsia" w:eastAsiaTheme="minorEastAsia"/>
          <w:color w:val="auto"/>
          <w:sz w:val="18"/>
          <w:szCs w:val="18"/>
        </w:rPr>
        <w:t>）</w:t>
      </w:r>
      <w:r>
        <w:rPr>
          <w:rFonts w:hint="eastAsia" w:ascii="黑体" w:hAnsi="黑体" w:eastAsia="黑体" w:cs="仿宋_GB2312"/>
          <w:bCs/>
          <w:color w:val="auto"/>
          <w:sz w:val="18"/>
          <w:szCs w:val="18"/>
        </w:rPr>
        <w:t>★</w:t>
      </w:r>
      <w:r>
        <w:rPr>
          <w:rFonts w:hint="eastAsia" w:asciiTheme="minorEastAsia" w:hAnsiTheme="minorEastAsia" w:eastAsiaTheme="minorEastAsia"/>
          <w:color w:val="auto"/>
          <w:sz w:val="18"/>
          <w:szCs w:val="18"/>
        </w:rPr>
        <w:t>预约申购</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指投资者在一段特定期间内通过预约的方式提交申购申请，该申请在申购日内自动转化为正式的申购申请。</w:t>
      </w:r>
      <w:r>
        <w:rPr>
          <w:rFonts w:asciiTheme="minorEastAsia" w:hAnsiTheme="minorEastAsia" w:eastAsiaTheme="minorEastAsia"/>
          <w:bCs/>
          <w:color w:val="auto"/>
          <w:sz w:val="18"/>
          <w:szCs w:val="18"/>
        </w:rPr>
        <w:t>提交预约申购</w:t>
      </w:r>
      <w:r>
        <w:rPr>
          <w:rFonts w:hint="eastAsia" w:asciiTheme="minorEastAsia" w:hAnsiTheme="minorEastAsia" w:eastAsiaTheme="minorEastAsia"/>
          <w:bCs/>
          <w:color w:val="auto"/>
          <w:sz w:val="18"/>
          <w:szCs w:val="18"/>
        </w:rPr>
        <w:t>申请</w:t>
      </w:r>
      <w:r>
        <w:rPr>
          <w:rFonts w:asciiTheme="minorEastAsia" w:hAnsiTheme="minorEastAsia" w:eastAsiaTheme="minorEastAsia"/>
          <w:bCs/>
          <w:color w:val="auto"/>
          <w:sz w:val="18"/>
          <w:szCs w:val="18"/>
        </w:rPr>
        <w:t>并不代表申购成功，产品管理人将在申购确认日确认投资者是否申购成功</w:t>
      </w:r>
      <w:r>
        <w:rPr>
          <w:rFonts w:hint="eastAsia" w:asciiTheme="minorEastAsia" w:hAnsiTheme="minorEastAsia" w:eastAsiaTheme="minorEastAsia"/>
          <w:bCs/>
          <w:color w:val="auto"/>
          <w:sz w:val="18"/>
          <w:szCs w:val="18"/>
        </w:rPr>
        <w:t>。</w:t>
      </w:r>
    </w:p>
    <w:p>
      <w:pPr>
        <w:spacing w:line="360" w:lineRule="auto"/>
        <w:ind w:right="-107" w:rightChars="-51"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21</w:t>
      </w:r>
      <w:r>
        <w:rPr>
          <w:rFonts w:hint="eastAsia" w:asciiTheme="minorEastAsia" w:hAnsiTheme="minorEastAsia" w:eastAsiaTheme="minorEastAsia"/>
          <w:sz w:val="18"/>
          <w:szCs w:val="18"/>
        </w:rPr>
        <w:t>）</w:t>
      </w:r>
      <w:r>
        <w:rPr>
          <w:rFonts w:hint="eastAsia" w:ascii="黑体" w:hAnsi="黑体" w:eastAsia="黑体" w:cs="仿宋_GB2312"/>
          <w:bCs/>
          <w:sz w:val="18"/>
          <w:szCs w:val="18"/>
        </w:rPr>
        <w:t>★</w:t>
      </w:r>
      <w:r>
        <w:rPr>
          <w:rFonts w:hint="eastAsia" w:asciiTheme="minorEastAsia" w:hAnsiTheme="minorEastAsia" w:eastAsiaTheme="minorEastAsia"/>
          <w:sz w:val="18"/>
          <w:szCs w:val="18"/>
        </w:rPr>
        <w:t>预约赎回</w:t>
      </w:r>
      <w:r>
        <w:rPr>
          <w:rFonts w:asciiTheme="minorEastAsia" w:hAnsiTheme="minorEastAsia" w:eastAsiaTheme="minorEastAsia"/>
          <w:sz w:val="18"/>
          <w:szCs w:val="18"/>
        </w:rPr>
        <w:t>:</w:t>
      </w:r>
      <w:r>
        <w:rPr>
          <w:rFonts w:hint="eastAsia" w:asciiTheme="minorEastAsia" w:hAnsiTheme="minorEastAsia" w:eastAsiaTheme="minorEastAsia"/>
          <w:sz w:val="18"/>
          <w:szCs w:val="18"/>
        </w:rPr>
        <w:t>指投资者在一段特定期间内通过预约的方式提交赎回申请，该申请在赎回日内自动转化为正式的赎回申请。</w:t>
      </w:r>
      <w:r>
        <w:rPr>
          <w:rFonts w:asciiTheme="majorEastAsia" w:hAnsiTheme="majorEastAsia" w:eastAsiaTheme="majorEastAsia"/>
          <w:bCs/>
          <w:sz w:val="18"/>
          <w:szCs w:val="18"/>
        </w:rPr>
        <w:t>提交预约赎回</w:t>
      </w:r>
      <w:r>
        <w:rPr>
          <w:rFonts w:hint="eastAsia" w:asciiTheme="majorEastAsia" w:hAnsiTheme="majorEastAsia" w:eastAsiaTheme="majorEastAsia"/>
          <w:bCs/>
          <w:sz w:val="18"/>
          <w:szCs w:val="18"/>
        </w:rPr>
        <w:t>申请</w:t>
      </w:r>
      <w:r>
        <w:rPr>
          <w:rFonts w:asciiTheme="majorEastAsia" w:hAnsiTheme="majorEastAsia" w:eastAsiaTheme="majorEastAsia"/>
          <w:bCs/>
          <w:sz w:val="18"/>
          <w:szCs w:val="18"/>
        </w:rPr>
        <w:t>并不代表赎回成功，产品管理人将在赎回确认日确认投资者是否赎回成功</w:t>
      </w:r>
      <w:r>
        <w:rPr>
          <w:rFonts w:hint="eastAsia" w:asciiTheme="majorEastAsia" w:hAnsiTheme="majorEastAsia" w:eastAsiaTheme="majorEastAsia"/>
          <w:bCs/>
          <w:sz w:val="18"/>
          <w:szCs w:val="18"/>
        </w:rPr>
        <w:t>。</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22</w:t>
      </w:r>
      <w:r>
        <w:rPr>
          <w:rFonts w:hint="eastAsia" w:asciiTheme="majorEastAsia" w:hAnsiTheme="majorEastAsia" w:eastAsiaTheme="majorEastAsia"/>
          <w:bCs/>
          <w:color w:val="auto"/>
          <w:sz w:val="18"/>
          <w:szCs w:val="18"/>
        </w:rPr>
        <w:t>）巨额赎回：每个赎回日，本产品的净赎回申请（赎回申请份额总数扣除申购申请总份额后的余额,下同）超过上一赎回日产品总份额的【</w:t>
      </w:r>
      <w:r>
        <w:rPr>
          <w:rFonts w:asciiTheme="majorEastAsia" w:hAnsiTheme="majorEastAsia" w:eastAsiaTheme="majorEastAsia"/>
          <w:bCs/>
          <w:color w:val="auto"/>
          <w:sz w:val="18"/>
          <w:szCs w:val="18"/>
        </w:rPr>
        <w:t>10</w:t>
      </w:r>
      <w:r>
        <w:rPr>
          <w:rFonts w:hint="eastAsia" w:asciiTheme="majorEastAsia" w:hAnsiTheme="majorEastAsia" w:eastAsiaTheme="majorEastAsia"/>
          <w:bCs/>
          <w:color w:val="auto"/>
          <w:sz w:val="18"/>
          <w:szCs w:val="18"/>
        </w:rPr>
        <w:t>】%，为巨额赎回。</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23）摆动定价机制：是指当开放式公募理财产品（现金管理类理财产品除外）遭遇大额申购或赎回时，通过调整理财产品份额净值的方式，将理财产品调整投资组合的市场冲击成本分配给实际申购、赎回的投资者，从而减少对存量理财产品份额持有人利益的不利影响。</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24）流动性受限资产：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25）7个工作日可变现资产：包括可在交易所、银行间市场正常交易的股票、债券、非金融企业债务融资工具、期货及期权合约以及同业存单，7个工作日内到期或可支取的买入返售、银行存款，7个工作日内能够确认收到的各类应收款项等。</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43"/>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）成立日：指本产品开始运作的日期。</w:t>
      </w:r>
    </w:p>
    <w:p>
      <w:pPr>
        <w:pStyle w:val="43"/>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）终止日：指本产品终止的日期。</w:t>
      </w:r>
    </w:p>
    <w:p>
      <w:pPr>
        <w:pStyle w:val="43"/>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43"/>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43"/>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43"/>
        <w:spacing w:line="360" w:lineRule="auto"/>
        <w:ind w:firstLine="360" w:firstLineChars="200"/>
        <w:rPr>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最短持有期:指自产品成立日/申购确认日起，投资者持有的产品份额被锁定持有的最短期间。自产品成立日/申购确认日起第【60】个自然日内（不含当日）投资者不能赎回该产品份额，自产品成立日/申购确认日起第【60】个自然日起（含当日），投资者可以赎回该产品份额。</w:t>
      </w:r>
    </w:p>
    <w:p>
      <w:pPr>
        <w:pStyle w:val="43"/>
        <w:spacing w:line="360" w:lineRule="auto"/>
        <w:ind w:firstLine="360" w:firstLineChars="200"/>
        <w:rPr>
          <w:rFonts w:cs="仿宋_GB2312"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12</w:t>
      </w:r>
      <w:r>
        <w:rPr>
          <w:rFonts w:hint="eastAsia" w:asciiTheme="majorEastAsia" w:hAnsiTheme="majorEastAsia" w:eastAsiaTheme="majorEastAsia"/>
          <w:bCs/>
          <w:color w:val="auto"/>
          <w:sz w:val="18"/>
          <w:szCs w:val="18"/>
        </w:rPr>
        <w:t>）★投资周期：投资周期指</w:t>
      </w:r>
      <w:r>
        <w:rPr>
          <w:rFonts w:hint="eastAsia" w:asciiTheme="minorEastAsia" w:hAnsiTheme="minorEastAsia" w:eastAsiaTheme="minorEastAsia"/>
          <w:bCs/>
          <w:color w:val="auto"/>
          <w:sz w:val="18"/>
          <w:szCs w:val="18"/>
        </w:rPr>
        <w:t>投资者</w:t>
      </w:r>
      <w:r>
        <w:rPr>
          <w:rFonts w:asciiTheme="minorEastAsia" w:hAnsiTheme="minorEastAsia" w:eastAsiaTheme="minorEastAsia"/>
          <w:bCs/>
          <w:color w:val="auto"/>
          <w:sz w:val="18"/>
          <w:szCs w:val="18"/>
        </w:rPr>
        <w:t>持有理财产品份额</w:t>
      </w:r>
      <w:r>
        <w:rPr>
          <w:rFonts w:hint="eastAsia" w:asciiTheme="minorEastAsia" w:hAnsiTheme="minorEastAsia" w:eastAsiaTheme="minorEastAsia"/>
          <w:bCs/>
          <w:color w:val="auto"/>
          <w:sz w:val="18"/>
          <w:szCs w:val="18"/>
        </w:rPr>
        <w:t>所对应的理财资金由产品管理人进行投资运作的一段完整期间，</w:t>
      </w:r>
      <w:r>
        <w:rPr>
          <w:rFonts w:hint="eastAsia" w:asciiTheme="majorEastAsia" w:hAnsiTheme="majorEastAsia" w:eastAsiaTheme="majorEastAsia"/>
          <w:bCs/>
          <w:color w:val="auto"/>
          <w:sz w:val="18"/>
          <w:szCs w:val="18"/>
        </w:rPr>
        <w:t>每一个投资周期</w:t>
      </w:r>
      <w:r>
        <w:rPr>
          <w:rFonts w:hint="eastAsia" w:cs="仿宋_GB2312" w:asciiTheme="majorEastAsia" w:hAnsiTheme="majorEastAsia" w:eastAsiaTheme="majorEastAsia"/>
          <w:color w:val="auto"/>
          <w:sz w:val="18"/>
          <w:szCs w:val="18"/>
        </w:rPr>
        <w:t>为该</w:t>
      </w:r>
      <w:r>
        <w:rPr>
          <w:rFonts w:hint="eastAsia" w:asciiTheme="majorEastAsia" w:hAnsiTheme="majorEastAsia" w:eastAsiaTheme="majorEastAsia"/>
          <w:bCs/>
          <w:color w:val="auto"/>
          <w:sz w:val="18"/>
          <w:szCs w:val="18"/>
        </w:rPr>
        <w:t>投资周期起始日</w:t>
      </w:r>
      <w:r>
        <w:rPr>
          <w:rFonts w:hint="eastAsia" w:cs="仿宋_GB2312" w:asciiTheme="majorEastAsia" w:hAnsiTheme="majorEastAsia" w:eastAsiaTheme="majorEastAsia"/>
          <w:color w:val="auto"/>
          <w:sz w:val="18"/>
          <w:szCs w:val="18"/>
        </w:rPr>
        <w:t>至该</w:t>
      </w:r>
      <w:r>
        <w:rPr>
          <w:rFonts w:hint="eastAsia" w:asciiTheme="majorEastAsia" w:hAnsiTheme="majorEastAsia" w:eastAsiaTheme="majorEastAsia"/>
          <w:bCs/>
          <w:color w:val="auto"/>
          <w:sz w:val="18"/>
          <w:szCs w:val="18"/>
        </w:rPr>
        <w:t>投资周期</w:t>
      </w:r>
      <w:r>
        <w:rPr>
          <w:rFonts w:hint="eastAsia" w:cs="仿宋_GB2312" w:asciiTheme="majorEastAsia" w:hAnsiTheme="majorEastAsia" w:eastAsiaTheme="majorEastAsia"/>
          <w:color w:val="auto"/>
          <w:sz w:val="18"/>
          <w:szCs w:val="18"/>
        </w:rPr>
        <w:t>终止日的理财期间。</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投资周期起始日：指每一个投资周期开始的日期。</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投资周期终止日：指每一个投资周期结束的日期。</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）产品存续期：指自理财产品成立日起，至理财产品终止日的期间。</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4</w:t>
      </w:r>
      <w:r>
        <w:rPr>
          <w:rFonts w:hint="eastAsia" w:asciiTheme="majorEastAsia" w:hAnsiTheme="majorEastAsia" w:eastAsiaTheme="majorEastAsia"/>
          <w:bCs/>
          <w:color w:val="auto"/>
          <w:sz w:val="18"/>
          <w:szCs w:val="18"/>
        </w:rPr>
        <w:t>）预约申购期：指投资者可以提交预约申购申请</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 xml:space="preserve">一段特定时间。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15）</w:t>
      </w:r>
      <w:r>
        <w:rPr>
          <w:rFonts w:hint="eastAsia" w:asciiTheme="majorEastAsia" w:hAnsiTheme="majorEastAsia" w:eastAsiaTheme="majorEastAsia"/>
          <w:bCs/>
          <w:color w:val="auto"/>
          <w:sz w:val="18"/>
          <w:szCs w:val="18"/>
        </w:rPr>
        <w:t>预约</w:t>
      </w:r>
      <w:r>
        <w:rPr>
          <w:rFonts w:asciiTheme="majorEastAsia" w:hAnsiTheme="majorEastAsia" w:eastAsiaTheme="majorEastAsia"/>
          <w:bCs/>
          <w:color w:val="auto"/>
          <w:sz w:val="18"/>
          <w:szCs w:val="18"/>
        </w:rPr>
        <w:t>赎回期</w:t>
      </w:r>
      <w:r>
        <w:rPr>
          <w:rFonts w:hint="eastAsia" w:asciiTheme="majorEastAsia" w:hAnsiTheme="majorEastAsia" w:eastAsiaTheme="majorEastAsia"/>
          <w:bCs/>
          <w:color w:val="auto"/>
          <w:sz w:val="18"/>
          <w:szCs w:val="18"/>
        </w:rPr>
        <w:t>：指投资者可以提交预约赎回申请的一段特定时间。</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16</w:t>
      </w:r>
      <w:r>
        <w:rPr>
          <w:rFonts w:hint="eastAsia" w:asciiTheme="majorEastAsia" w:hAnsiTheme="majorEastAsia" w:eastAsiaTheme="majorEastAsia"/>
          <w:bCs/>
          <w:color w:val="auto"/>
          <w:sz w:val="18"/>
          <w:szCs w:val="18"/>
        </w:rPr>
        <w:t>）清算期：指自本理财产品终止日至投资者理财利益到账日之间的期间。</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43"/>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（2）</w:t>
      </w:r>
      <w:r>
        <w:rPr>
          <w:rFonts w:hint="eastAsia" w:ascii="黑体" w:hAnsi="黑体" w:eastAsia="黑体" w:cs="仿宋_GB2312"/>
          <w:bCs/>
          <w:sz w:val="18"/>
          <w:szCs w:val="18"/>
        </w:rPr>
        <w:t>★</w:t>
      </w:r>
      <w:r>
        <w:rPr>
          <w:rFonts w:ascii="宋体" w:hAnsi="宋体"/>
          <w:kern w:val="0"/>
          <w:sz w:val="18"/>
          <w:szCs w:val="18"/>
        </w:rPr>
        <w:t>申购费：</w:t>
      </w:r>
      <w:r>
        <w:rPr>
          <w:rFonts w:hint="eastAsia" w:ascii="宋体" w:hAnsi="宋体"/>
          <w:kern w:val="0"/>
          <w:sz w:val="18"/>
          <w:szCs w:val="18"/>
        </w:rPr>
        <w:t>指</w:t>
      </w:r>
      <w:r>
        <w:rPr>
          <w:rFonts w:ascii="宋体" w:hAnsi="宋体"/>
          <w:kern w:val="0"/>
          <w:sz w:val="18"/>
          <w:szCs w:val="18"/>
        </w:rPr>
        <w:t>投资者申购产品时</w:t>
      </w:r>
      <w:r>
        <w:rPr>
          <w:rFonts w:hint="eastAsia" w:ascii="宋体" w:hAnsi="宋体"/>
          <w:kern w:val="0"/>
          <w:sz w:val="18"/>
          <w:szCs w:val="18"/>
        </w:rPr>
        <w:t>需缴纳的费用。</w:t>
      </w:r>
    </w:p>
    <w:p>
      <w:pPr>
        <w:pStyle w:val="43"/>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赎回费：指投资者赎回产品时需缴纳的费用。</w:t>
      </w:r>
    </w:p>
    <w:p>
      <w:pPr>
        <w:pStyle w:val="43"/>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43"/>
        <w:spacing w:line="360" w:lineRule="auto"/>
        <w:ind w:firstLine="360" w:firstLineChars="200"/>
        <w:rPr>
          <w:rFonts w:hAnsi="宋体"/>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43"/>
        <w:spacing w:line="360" w:lineRule="auto"/>
        <w:ind w:firstLine="360" w:firstLineChars="200"/>
        <w:rPr>
          <w:rFonts w:hAnsi="宋体"/>
          <w:sz w:val="18"/>
          <w:szCs w:val="18"/>
        </w:rPr>
      </w:pPr>
      <w:r>
        <w:rPr>
          <w:rFonts w:hint="eastAsia" w:hAnsi="宋体"/>
          <w:sz w:val="18"/>
          <w:szCs w:val="18"/>
        </w:rPr>
        <w:t>（6）</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43"/>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（7）</w:t>
      </w:r>
      <w:r>
        <w:rPr>
          <w:rFonts w:hint="eastAsia" w:ascii="黑体" w:hAnsi="黑体" w:eastAsia="黑体" w:cs="仿宋_GB2312"/>
          <w:bCs/>
          <w:color w:val="auto"/>
          <w:sz w:val="18"/>
          <w:szCs w:val="18"/>
        </w:rPr>
        <w:t>★</w:t>
      </w:r>
      <w:r>
        <w:rPr>
          <w:rFonts w:hint="eastAsia" w:hAnsi="宋体"/>
          <w:sz w:val="18"/>
          <w:szCs w:val="18"/>
        </w:rPr>
        <w:t>超额业绩报酬：指产品管理人依照理财产品销售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spacing w:line="360" w:lineRule="auto"/>
        <w:ind w:firstLine="360" w:firstLineChars="200"/>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）适用法律：指在理财销售文件签署日和履行过程中，适用中华人民共和国法律（为本协议之目的，在此不包括香港、澳门特别行政区和台湾地区的法律），包括中国任何立法机构、政府部门、银行业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p>
    <w:p>
      <w:pPr>
        <w:widowControl/>
        <w:spacing w:line="360" w:lineRule="auto"/>
        <w:jc w:val="left"/>
        <w:rPr>
          <w:rFonts w:ascii="宋体" w:hAnsi="宋体"/>
          <w:color w:val="000000"/>
          <w:kern w:val="0"/>
          <w:sz w:val="28"/>
          <w:szCs w:val="28"/>
        </w:rPr>
      </w:pPr>
      <w:r>
        <w:rPr>
          <w:rFonts w:hAnsi="宋体"/>
          <w:sz w:val="28"/>
          <w:szCs w:val="28"/>
        </w:rPr>
        <w:br w:type="page"/>
      </w:r>
    </w:p>
    <w:p>
      <w:pPr>
        <w:pStyle w:val="2"/>
        <w:spacing w:before="0" w:after="0" w:line="360" w:lineRule="auto"/>
        <w:jc w:val="center"/>
        <w:rPr>
          <w:rFonts w:hAnsi="宋体"/>
          <w:sz w:val="28"/>
          <w:szCs w:val="28"/>
        </w:rPr>
      </w:pPr>
      <w:bookmarkStart w:id="76" w:name="_Toc164"/>
      <w:bookmarkStart w:id="77" w:name="_Toc92377131"/>
      <w:bookmarkStart w:id="78" w:name="_Toc79154665"/>
      <w:r>
        <w:rPr>
          <w:rFonts w:hint="eastAsia" w:hAnsi="宋体"/>
          <w:sz w:val="28"/>
          <w:szCs w:val="28"/>
        </w:rPr>
        <w:t>第二条  理财产品基本情况</w:t>
      </w:r>
      <w:bookmarkEnd w:id="76"/>
      <w:bookmarkEnd w:id="77"/>
      <w:bookmarkEnd w:id="78"/>
      <w:r>
        <w:rPr>
          <w:rFonts w:hint="eastAsia" w:hAnsi="宋体"/>
          <w:sz w:val="28"/>
          <w:szCs w:val="28"/>
        </w:rPr>
        <w:t xml:space="preserve"> </w:t>
      </w:r>
    </w:p>
    <w:tbl>
      <w:tblPr>
        <w:tblStyle w:val="24"/>
        <w:tblW w:w="964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45"/>
        <w:gridCol w:w="77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7704" w:type="dxa"/>
            <w:shd w:val="solid" w:color="FFFFFF" w:fill="FFFFFF"/>
            <w:vAlign w:val="center"/>
          </w:tcPr>
          <w:p>
            <w:pPr>
              <w:autoSpaceDE w:val="0"/>
              <w:autoSpaceDN w:val="0"/>
              <w:adjustRightInd w:val="0"/>
              <w:jc w:val="left"/>
              <w:rPr>
                <w:rFonts w:ascii="宋体" w:hAnsi="宋体"/>
                <w:bCs/>
                <w:sz w:val="18"/>
                <w:szCs w:val="18"/>
              </w:rPr>
            </w:pPr>
            <w:r>
              <w:rPr>
                <w:rFonts w:hint="eastAsia" w:ascii="宋体" w:hAnsi="宋体"/>
                <w:sz w:val="18"/>
                <w:szCs w:val="18"/>
              </w:rPr>
              <w:t>兴银理财稳添利双月盈1号(2个月最短持有期)日开固收类理财产品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兴银稳添利双月盈1号A（适用【</w:t>
            </w:r>
            <w:r>
              <w:rPr>
                <w:rFonts w:ascii="宋体" w:hAnsi="宋体"/>
                <w:sz w:val="18"/>
                <w:szCs w:val="18"/>
              </w:rPr>
              <w:t>A</w:t>
            </w:r>
            <w:r>
              <w:rPr>
                <w:rFonts w:hint="eastAsia" w:ascii="宋体" w:hAnsi="宋体"/>
                <w:sz w:val="18"/>
                <w:szCs w:val="18"/>
              </w:rPr>
              <w:t>】类份额）</w:t>
            </w:r>
          </w:p>
          <w:p>
            <w:pPr>
              <w:spacing w:line="360" w:lineRule="auto"/>
              <w:jc w:val="left"/>
              <w:rPr>
                <w:rFonts w:ascii="宋体" w:hAnsi="宋体"/>
                <w:sz w:val="18"/>
                <w:szCs w:val="18"/>
              </w:rPr>
            </w:pPr>
            <w:r>
              <w:rPr>
                <w:rFonts w:hint="eastAsia" w:ascii="宋体" w:hAnsi="宋体"/>
                <w:sz w:val="18"/>
                <w:szCs w:val="18"/>
              </w:rPr>
              <w:t>兴银稳添利双月盈1号B（适用【</w:t>
            </w:r>
            <w:r>
              <w:rPr>
                <w:rFonts w:ascii="宋体" w:hAnsi="宋体"/>
                <w:sz w:val="18"/>
                <w:szCs w:val="18"/>
              </w:rPr>
              <w:t>B</w:t>
            </w:r>
            <w:r>
              <w:rPr>
                <w:rFonts w:hint="eastAsia" w:ascii="宋体" w:hAnsi="宋体"/>
                <w:sz w:val="18"/>
                <w:szCs w:val="18"/>
              </w:rPr>
              <w:t>】类份额）</w:t>
            </w:r>
          </w:p>
          <w:p>
            <w:pPr>
              <w:spacing w:line="360" w:lineRule="auto"/>
              <w:jc w:val="left"/>
              <w:rPr>
                <w:rFonts w:ascii="宋体" w:hAnsi="宋体"/>
                <w:sz w:val="18"/>
                <w:szCs w:val="18"/>
              </w:rPr>
            </w:pPr>
            <w:r>
              <w:rPr>
                <w:rFonts w:hint="eastAsia" w:ascii="宋体" w:hAnsi="宋体"/>
                <w:sz w:val="18"/>
                <w:szCs w:val="18"/>
              </w:rPr>
              <w:t>兴银稳添利双月盈1号</w:t>
            </w:r>
            <w:r>
              <w:rPr>
                <w:rFonts w:ascii="宋体" w:hAnsi="宋体"/>
                <w:sz w:val="18"/>
                <w:szCs w:val="18"/>
              </w:rPr>
              <w:t>C</w:t>
            </w:r>
            <w:r>
              <w:rPr>
                <w:rFonts w:hint="eastAsia" w:ascii="宋体" w:hAnsi="宋体"/>
                <w:sz w:val="18"/>
                <w:szCs w:val="18"/>
              </w:rPr>
              <w:t>（适用【</w:t>
            </w:r>
            <w:r>
              <w:rPr>
                <w:rFonts w:ascii="宋体" w:hAnsi="宋体"/>
                <w:sz w:val="18"/>
                <w:szCs w:val="18"/>
              </w:rPr>
              <w:t>C</w:t>
            </w:r>
            <w:r>
              <w:rPr>
                <w:rFonts w:hint="eastAsia" w:ascii="宋体" w:hAnsi="宋体"/>
                <w:sz w:val="18"/>
                <w:szCs w:val="18"/>
              </w:rPr>
              <w:t>】类份额）</w:t>
            </w:r>
          </w:p>
          <w:p>
            <w:pPr>
              <w:spacing w:line="360" w:lineRule="auto"/>
              <w:jc w:val="left"/>
              <w:rPr>
                <w:rFonts w:ascii="宋体" w:hAnsi="宋体"/>
                <w:kern w:val="0"/>
                <w:sz w:val="22"/>
              </w:rPr>
            </w:pPr>
            <w:r>
              <w:rPr>
                <w:rFonts w:hint="eastAsia" w:ascii="宋体" w:hAnsi="宋体"/>
                <w:sz w:val="18"/>
                <w:szCs w:val="18"/>
              </w:rPr>
              <w:t>兴银稳添利双月盈1号</w:t>
            </w:r>
            <w:r>
              <w:rPr>
                <w:rFonts w:ascii="宋体" w:hAnsi="宋体"/>
                <w:sz w:val="18"/>
                <w:szCs w:val="18"/>
              </w:rPr>
              <w:t>D</w:t>
            </w:r>
            <w:r>
              <w:rPr>
                <w:rFonts w:hint="eastAsia" w:ascii="宋体" w:hAnsi="宋体"/>
                <w:sz w:val="18"/>
                <w:szCs w:val="18"/>
              </w:rPr>
              <w:t>（适用【D】类份额）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704" w:type="dxa"/>
            <w:shd w:val="solid" w:color="FFFFFF" w:fill="FFFFFF"/>
            <w:vAlign w:val="center"/>
          </w:tcPr>
          <w:p>
            <w:pPr>
              <w:rPr>
                <w:rFonts w:ascii="宋体" w:hAnsi="宋体"/>
                <w:b/>
                <w:sz w:val="18"/>
                <w:szCs w:val="18"/>
              </w:rPr>
            </w:pPr>
            <w:r>
              <w:rPr>
                <w:rFonts w:hint="eastAsia" w:hAnsi="宋体"/>
                <w:sz w:val="18"/>
                <w:szCs w:val="18"/>
              </w:rPr>
              <w:t>【</w:t>
            </w:r>
            <w:r>
              <w:rPr>
                <w:rFonts w:ascii="宋体" w:hAnsi="宋体"/>
                <w:sz w:val="18"/>
                <w:szCs w:val="18"/>
              </w:rPr>
              <w:t>Z7002022000135</w:t>
            </w:r>
            <w:r>
              <w:rPr>
                <w:rFonts w:hint="eastAsia" w:ascii="宋体" w:hAnsi="宋体"/>
                <w:sz w:val="18"/>
                <w:szCs w:val="18"/>
              </w:rPr>
              <w:t>】注</w:t>
            </w:r>
            <w:r>
              <w:rPr>
                <w:rFonts w:hint="eastAsia" w:hAnsi="宋体"/>
                <w:sz w:val="18"/>
                <w:szCs w:val="18"/>
              </w:rPr>
              <w:t>：投资者可依</w:t>
            </w:r>
            <w:r>
              <w:rPr>
                <w:rFonts w:hint="eastAsia" w:ascii="宋体" w:hAnsi="宋体"/>
                <w:sz w:val="18"/>
                <w:szCs w:val="18"/>
              </w:rPr>
              <w:t>据理财产品登记编码在中国理财网(</w:t>
            </w:r>
            <w:r>
              <w:fldChar w:fldCharType="begin"/>
            </w:r>
            <w:r>
              <w:instrText xml:space="preserve"> HYPERLINK "http://www.chinawealth.com.cn" </w:instrText>
            </w:r>
            <w:r>
              <w:fldChar w:fldCharType="separate"/>
            </w:r>
            <w:r>
              <w:rPr>
                <w:rStyle w:val="29"/>
                <w:rFonts w:hint="eastAsia" w:ascii="宋体" w:hAnsi="宋体"/>
                <w:sz w:val="18"/>
                <w:szCs w:val="18"/>
              </w:rPr>
              <w:t>www.chinawealth.com.cn</w:t>
            </w:r>
            <w:r>
              <w:rPr>
                <w:rStyle w:val="29"/>
                <w:rFonts w:hint="eastAsia" w:ascii="宋体" w:hAnsi="宋体"/>
                <w:sz w:val="18"/>
                <w:szCs w:val="18"/>
              </w:rPr>
              <w:fldChar w:fldCharType="end"/>
            </w:r>
            <w:r>
              <w:rPr>
                <w:rFonts w:hint="eastAsia" w:ascii="宋体" w:hAnsi="宋体"/>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704" w:type="dxa"/>
            <w:shd w:val="solid" w:color="FFFFFF" w:fill="FFFFFF"/>
            <w:vAlign w:val="center"/>
          </w:tcPr>
          <w:p>
            <w:pPr>
              <w:spacing w:line="360" w:lineRule="auto"/>
              <w:jc w:val="left"/>
              <w:rPr>
                <w:rFonts w:ascii="宋体" w:hAnsi="宋体"/>
                <w:bCs/>
                <w:sz w:val="18"/>
                <w:szCs w:val="18"/>
              </w:rPr>
            </w:pPr>
            <w:r>
              <w:rPr>
                <w:rFonts w:ascii="宋体" w:hAnsi="宋体"/>
                <w:sz w:val="18"/>
                <w:szCs w:val="18"/>
              </w:rPr>
              <w:t>【9K910</w:t>
            </w:r>
            <w:r>
              <w:rPr>
                <w:rFonts w:hint="eastAsia" w:ascii="宋体" w:hAnsi="宋体"/>
                <w:sz w:val="18"/>
                <w:szCs w:val="18"/>
              </w:rPr>
              <w:t>6</w:t>
            </w:r>
            <w:r>
              <w:rPr>
                <w:rFonts w:ascii="宋体" w:hAnsi="宋体"/>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704" w:type="dxa"/>
            <w:shd w:val="solid" w:color="FFFFFF" w:fill="FFFFFF"/>
            <w:vAlign w:val="center"/>
          </w:tcPr>
          <w:p>
            <w:pPr>
              <w:spacing w:line="360" w:lineRule="auto"/>
              <w:jc w:val="left"/>
              <w:rPr>
                <w:rFonts w:ascii="宋体" w:hAnsi="宋体"/>
                <w:sz w:val="18"/>
                <w:szCs w:val="18"/>
              </w:rPr>
            </w:pPr>
            <w:r>
              <w:rPr>
                <w:rFonts w:ascii="宋体" w:hAnsi="宋体"/>
                <w:sz w:val="18"/>
                <w:szCs w:val="18"/>
              </w:rPr>
              <w:t>【9K910</w:t>
            </w:r>
            <w:r>
              <w:rPr>
                <w:rFonts w:hint="eastAsia" w:ascii="宋体" w:hAnsi="宋体"/>
                <w:sz w:val="18"/>
                <w:szCs w:val="18"/>
              </w:rPr>
              <w:t>6</w:t>
            </w:r>
            <w:r>
              <w:rPr>
                <w:rFonts w:ascii="宋体" w:hAnsi="宋体"/>
                <w:sz w:val="18"/>
                <w:szCs w:val="18"/>
              </w:rPr>
              <w:t>1A】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jc w:val="left"/>
              <w:rPr>
                <w:rFonts w:ascii="宋体" w:hAnsi="宋体"/>
                <w:sz w:val="18"/>
                <w:szCs w:val="18"/>
              </w:rPr>
            </w:pPr>
            <w:r>
              <w:rPr>
                <w:rFonts w:ascii="宋体" w:hAnsi="宋体"/>
                <w:sz w:val="18"/>
                <w:szCs w:val="18"/>
              </w:rPr>
              <w:t>【9K910</w:t>
            </w:r>
            <w:r>
              <w:rPr>
                <w:rFonts w:hint="eastAsia" w:ascii="宋体" w:hAnsi="宋体"/>
                <w:sz w:val="18"/>
                <w:szCs w:val="18"/>
              </w:rPr>
              <w:t>6</w:t>
            </w:r>
            <w:r>
              <w:rPr>
                <w:rFonts w:ascii="宋体" w:hAnsi="宋体"/>
                <w:sz w:val="18"/>
                <w:szCs w:val="18"/>
              </w:rPr>
              <w:t>1B】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p>
            <w:pPr>
              <w:spacing w:line="360" w:lineRule="auto"/>
              <w:jc w:val="left"/>
              <w:rPr>
                <w:rFonts w:ascii="宋体" w:hAnsi="宋体"/>
                <w:sz w:val="18"/>
                <w:szCs w:val="18"/>
              </w:rPr>
            </w:pPr>
            <w:r>
              <w:rPr>
                <w:rFonts w:ascii="宋体" w:hAnsi="宋体"/>
                <w:sz w:val="18"/>
                <w:szCs w:val="18"/>
              </w:rPr>
              <w:t>【9K910</w:t>
            </w:r>
            <w:r>
              <w:rPr>
                <w:rFonts w:hint="eastAsia" w:ascii="宋体" w:hAnsi="宋体"/>
                <w:sz w:val="18"/>
                <w:szCs w:val="18"/>
              </w:rPr>
              <w:t>6</w:t>
            </w:r>
            <w:r>
              <w:rPr>
                <w:rFonts w:ascii="宋体" w:hAnsi="宋体"/>
                <w:sz w:val="18"/>
                <w:szCs w:val="18"/>
              </w:rPr>
              <w:t>1C】</w:t>
            </w:r>
            <w:r>
              <w:rPr>
                <w:rFonts w:hint="eastAsia" w:ascii="宋体" w:hAnsi="宋体"/>
                <w:sz w:val="18"/>
                <w:szCs w:val="18"/>
              </w:rPr>
              <w:t>（适用【</w:t>
            </w:r>
            <w:r>
              <w:rPr>
                <w:rFonts w:ascii="宋体" w:hAnsi="宋体"/>
                <w:sz w:val="18"/>
                <w:szCs w:val="18"/>
              </w:rPr>
              <w:t>C</w:t>
            </w:r>
            <w:r>
              <w:rPr>
                <w:rFonts w:hint="eastAsia" w:ascii="宋体" w:hAnsi="宋体"/>
                <w:sz w:val="18"/>
                <w:szCs w:val="18"/>
              </w:rPr>
              <w:t>】类份额）</w:t>
            </w:r>
          </w:p>
          <w:p>
            <w:pPr>
              <w:spacing w:line="360" w:lineRule="auto"/>
              <w:jc w:val="left"/>
              <w:rPr>
                <w:rFonts w:hAnsi="宋体"/>
                <w:sz w:val="18"/>
                <w:szCs w:val="18"/>
              </w:rPr>
            </w:pPr>
            <w:r>
              <w:rPr>
                <w:rFonts w:ascii="宋体" w:hAnsi="宋体"/>
                <w:sz w:val="18"/>
                <w:szCs w:val="18"/>
              </w:rPr>
              <w:t>【9K910</w:t>
            </w:r>
            <w:r>
              <w:rPr>
                <w:rFonts w:hint="eastAsia" w:ascii="宋体" w:hAnsi="宋体"/>
                <w:sz w:val="18"/>
                <w:szCs w:val="18"/>
              </w:rPr>
              <w:t>6</w:t>
            </w:r>
            <w:r>
              <w:rPr>
                <w:rFonts w:ascii="宋体" w:hAnsi="宋体"/>
                <w:sz w:val="18"/>
                <w:szCs w:val="18"/>
              </w:rPr>
              <w:t>1D】</w:t>
            </w:r>
            <w:r>
              <w:rPr>
                <w:rFonts w:hint="eastAsia" w:ascii="宋体" w:hAnsi="宋体"/>
                <w:sz w:val="18"/>
                <w:szCs w:val="18"/>
              </w:rPr>
              <w:t>（适用【</w:t>
            </w:r>
            <w:r>
              <w:rPr>
                <w:rFonts w:ascii="宋体" w:hAnsi="宋体"/>
                <w:sz w:val="18"/>
                <w:szCs w:val="18"/>
              </w:rPr>
              <w:t>D</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70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.本产品设置不同的理财产品份额，每类理财产品份额以下内容将单独设置：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Cs/>
                <w:sz w:val="18"/>
                <w:szCs w:val="18"/>
              </w:rPr>
            </w:pPr>
            <w:r>
              <w:rPr>
                <w:rFonts w:hint="eastAsia" w:ascii="黑体" w:hAnsi="黑体" w:eastAsia="黑体"/>
                <w:bCs/>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704" w:type="dxa"/>
            <w:shd w:val="solid" w:color="FFFFFF" w:fill="FFFFFF"/>
            <w:vAlign w:val="center"/>
          </w:tcPr>
          <w:p>
            <w:pPr>
              <w:adjustRightInd w:val="0"/>
              <w:snapToGrid w:val="0"/>
              <w:spacing w:line="276"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、开放式、固定收益类、非保本浮动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70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开放式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704" w:type="dxa"/>
            <w:shd w:val="solid" w:color="FFFFFF" w:fill="FFFFFF"/>
            <w:vAlign w:val="center"/>
          </w:tcPr>
          <w:p>
            <w:pPr>
              <w:adjustRightInd w:val="0"/>
              <w:snapToGrid w:val="0"/>
              <w:spacing w:line="276" w:lineRule="auto"/>
              <w:rPr>
                <w:rFonts w:asciiTheme="majorEastAsia" w:hAnsiTheme="majorEastAsia" w:eastAsiaTheme="majorEastAsia"/>
                <w:b/>
                <w:color w:val="000000" w:themeColor="text1"/>
                <w:sz w:val="18"/>
                <w:szCs w:val="18"/>
              </w:rPr>
            </w:pPr>
            <w:r>
              <w:rPr>
                <w:rFonts w:hint="eastAsia" w:asciiTheme="majorEastAsia" w:hAnsiTheme="majorEastAsia" w:eastAsiaTheme="majorEastAsia"/>
                <w:b/>
                <w:color w:val="000000" w:themeColor="text1"/>
                <w:sz w:val="18"/>
                <w:szCs w:val="18"/>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70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70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Cs/>
                <w:sz w:val="18"/>
                <w:szCs w:val="18"/>
              </w:rPr>
            </w:pPr>
            <w:r>
              <w:rPr>
                <w:rFonts w:hint="eastAsia" w:ascii="黑体" w:hAnsi="黑体" w:eastAsia="黑体"/>
                <w:sz w:val="18"/>
                <w:szCs w:val="18"/>
              </w:rPr>
              <w:t>注</w:t>
            </w:r>
            <w:r>
              <w:rPr>
                <w:rFonts w:ascii="黑体" w:hAnsi="黑体" w:eastAsia="黑体"/>
                <w:sz w:val="18"/>
                <w:szCs w:val="18"/>
              </w:rPr>
              <w:t>：</w:t>
            </w:r>
            <w:r>
              <w:rPr>
                <w:rFonts w:hint="eastAsia" w:ascii="黑体" w:hAnsi="黑体" w:eastAsia="黑体"/>
                <w:sz w:val="18"/>
                <w:szCs w:val="18"/>
              </w:rPr>
              <w:t>若本</w:t>
            </w:r>
            <w:r>
              <w:rPr>
                <w:rFonts w:ascii="黑体" w:hAnsi="黑体" w:eastAsia="黑体"/>
                <w:sz w:val="18"/>
                <w:szCs w:val="18"/>
              </w:rPr>
              <w:t>产品通过代理销售机构销售的，</w:t>
            </w:r>
            <w:r>
              <w:rPr>
                <w:rFonts w:hint="eastAsia" w:ascii="黑体" w:hAnsi="黑体" w:eastAsia="黑体"/>
                <w:sz w:val="18"/>
                <w:szCs w:val="18"/>
              </w:rPr>
              <w:t>理财产品</w:t>
            </w:r>
            <w:r>
              <w:rPr>
                <w:rFonts w:ascii="黑体" w:hAnsi="黑体" w:eastAsia="黑体"/>
                <w:sz w:val="18"/>
                <w:szCs w:val="18"/>
              </w:rPr>
              <w:t>评级</w:t>
            </w:r>
            <w:r>
              <w:rPr>
                <w:rFonts w:hint="eastAsia" w:ascii="黑体" w:hAnsi="黑体" w:eastAsia="黑体"/>
                <w:sz w:val="18"/>
                <w:szCs w:val="18"/>
              </w:rPr>
              <w:t>以</w:t>
            </w:r>
            <w:r>
              <w:rPr>
                <w:rFonts w:ascii="黑体" w:hAnsi="黑体" w:eastAsia="黑体"/>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704" w:type="dxa"/>
            <w:shd w:val="solid" w:color="FFFFFF" w:fill="FFFFFF"/>
            <w:vAlign w:val="bottom"/>
          </w:tcPr>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本产品</w:t>
            </w:r>
            <w:r>
              <w:rPr>
                <w:rFonts w:asciiTheme="majorEastAsia" w:hAnsiTheme="majorEastAsia" w:eastAsiaTheme="majorEastAsia"/>
                <w:bCs/>
                <w:color w:val="000000" w:themeColor="text1"/>
                <w:sz w:val="18"/>
                <w:szCs w:val="18"/>
              </w:rPr>
              <w:t>适合以下类型投资者：</w:t>
            </w:r>
          </w:p>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rPr>
              <w:t>□机构投资者：□一般</w:t>
            </w:r>
            <w:r>
              <w:rPr>
                <w:rFonts w:asciiTheme="majorEastAsia" w:hAnsiTheme="majorEastAsia" w:eastAsiaTheme="majorEastAsia"/>
                <w:bCs/>
                <w:color w:val="000000" w:themeColor="text1"/>
                <w:sz w:val="18"/>
                <w:szCs w:val="18"/>
              </w:rPr>
              <w:t>机构</w:t>
            </w:r>
            <w:r>
              <w:rPr>
                <w:rFonts w:hint="eastAsia" w:asciiTheme="majorEastAsia" w:hAnsiTheme="majorEastAsia" w:eastAsiaTheme="majorEastAsia"/>
                <w:bCs/>
                <w:color w:val="000000" w:themeColor="text1"/>
                <w:sz w:val="18"/>
                <w:szCs w:val="18"/>
              </w:rPr>
              <w:t xml:space="preserve">客户 </w:t>
            </w:r>
            <w:r>
              <w:rPr>
                <w:rFonts w:asciiTheme="majorEastAsia" w:hAnsiTheme="majorEastAsia" w:eastAsiaTheme="majorEastAsia"/>
                <w:bCs/>
                <w:color w:val="000000" w:themeColor="text1"/>
                <w:sz w:val="18"/>
                <w:szCs w:val="18"/>
              </w:rPr>
              <w:t xml:space="preserve">  </w:t>
            </w:r>
            <w:r>
              <w:rPr>
                <w:rFonts w:hint="eastAsia" w:asciiTheme="majorEastAsia" w:hAnsiTheme="majorEastAsia" w:eastAsiaTheme="majorEastAsia"/>
                <w:bCs/>
                <w:color w:val="000000" w:themeColor="text1"/>
                <w:sz w:val="18"/>
                <w:szCs w:val="18"/>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Cs/>
                <w:color w:val="000000" w:themeColor="text1"/>
                <w:sz w:val="18"/>
                <w:szCs w:val="18"/>
              </w:rPr>
            </w:pPr>
            <w:r>
              <w:rPr>
                <w:rFonts w:hint="eastAsia" w:ascii="黑体" w:hAnsi="黑体" w:eastAsia="黑体"/>
                <w:bCs/>
                <w:sz w:val="18"/>
                <w:szCs w:val="18"/>
              </w:rPr>
              <w:t>特别提示：当销售机构销售产品风险评级为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704" w:type="dxa"/>
            <w:shd w:val="solid" w:color="FFFFFF" w:fill="FFFFFF"/>
            <w:vAlign w:val="center"/>
          </w:tcPr>
          <w:p>
            <w:pPr>
              <w:spacing w:line="360" w:lineRule="auto"/>
              <w:rPr>
                <w:rFonts w:ascii="宋体" w:hAnsi="宋体"/>
                <w:sz w:val="18"/>
                <w:szCs w:val="18"/>
              </w:rPr>
            </w:pPr>
            <w:r>
              <w:rPr>
                <w:rFonts w:hint="eastAsia" w:asciiTheme="majorEastAsia" w:hAnsiTheme="majorEastAsia" w:eastAsiaTheme="majorEastAsia"/>
                <w:bCs/>
                <w:sz w:val="18"/>
                <w:szCs w:val="18"/>
              </w:rPr>
              <w:t>1.本</w:t>
            </w:r>
            <w:r>
              <w:rPr>
                <w:rFonts w:hint="eastAsia" w:ascii="宋体" w:hAnsi="宋体"/>
                <w:sz w:val="18"/>
                <w:szCs w:val="18"/>
              </w:rPr>
              <w:t>产品计划初始募集规模为【</w:t>
            </w:r>
            <w:r>
              <w:rPr>
                <w:rFonts w:ascii="宋体" w:hAnsi="宋体"/>
                <w:sz w:val="18"/>
                <w:szCs w:val="18"/>
              </w:rPr>
              <w:t>10</w:t>
            </w:r>
            <w:r>
              <w:rPr>
                <w:rFonts w:hint="eastAsia" w:ascii="宋体" w:hAnsi="宋体"/>
                <w:sz w:val="18"/>
                <w:szCs w:val="18"/>
              </w:rPr>
              <w:t>】亿元。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cs="仿宋_GB2312" w:asciiTheme="majorEastAsia" w:hAnsiTheme="majorEastAsia" w:eastAsiaTheme="majorEastAsia"/>
                <w:kern w:val="0"/>
                <w:sz w:val="18"/>
                <w:szCs w:val="18"/>
              </w:rPr>
              <w:t>无固定期限</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022】年【</w:t>
            </w:r>
            <w:r>
              <w:rPr>
                <w:rFonts w:hint="eastAsia" w:cs="Times New Roman" w:asciiTheme="minorEastAsia" w:hAnsiTheme="minorEastAsia"/>
                <w:sz w:val="18"/>
                <w:szCs w:val="18"/>
              </w:rPr>
              <w:t>4】月【7】日【9</w:t>
            </w:r>
            <w:r>
              <w:rPr>
                <w:rFonts w:cs="Times New Roman" w:asciiTheme="minorEastAsia" w:hAnsiTheme="minorEastAsia"/>
                <w:sz w:val="18"/>
                <w:szCs w:val="18"/>
              </w:rPr>
              <w:t>:00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022】年【</w:t>
            </w:r>
            <w:r>
              <w:rPr>
                <w:rFonts w:hint="eastAsia" w:cs="Times New Roman" w:asciiTheme="minorEastAsia" w:hAnsiTheme="minorEastAsia"/>
                <w:sz w:val="18"/>
                <w:szCs w:val="18"/>
              </w:rPr>
              <w:t>4】月【13】日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5:45</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asciiTheme="minorEastAsia" w:hAnsiTheme="minorEastAsia"/>
                <w:bCs/>
                <w:sz w:val="18"/>
                <w:szCs w:val="18"/>
              </w:rPr>
              <w:t>.</w:t>
            </w:r>
            <w:r>
              <w:rPr>
                <w:rFonts w:hint="eastAsia" w:ascii="宋体" w:hAnsi="宋体"/>
                <w:bCs/>
                <w:sz w:val="18"/>
                <w:szCs w:val="18"/>
              </w:rPr>
              <w:t>投资者在认购期</w:t>
            </w:r>
            <w:r>
              <w:rPr>
                <w:rFonts w:ascii="宋体" w:hAnsi="宋体"/>
                <w:bCs/>
                <w:sz w:val="18"/>
                <w:szCs w:val="18"/>
              </w:rPr>
              <w:t>/募集</w:t>
            </w:r>
            <w:r>
              <w:rPr>
                <w:rFonts w:hint="eastAsia" w:ascii="宋体" w:hAnsi="宋体"/>
                <w:sz w:val="18"/>
                <w:szCs w:val="18"/>
              </w:rPr>
              <w:t>期内认购</w:t>
            </w:r>
            <w:r>
              <w:rPr>
                <w:rFonts w:hint="eastAsia" w:ascii="宋体" w:hAnsi="宋体"/>
                <w:bCs/>
                <w:sz w:val="18"/>
                <w:szCs w:val="18"/>
              </w:rPr>
              <w:t>本</w:t>
            </w:r>
            <w:r>
              <w:rPr>
                <w:rFonts w:hint="eastAsia" w:ascii="宋体" w:hAnsi="宋体"/>
                <w:sz w:val="18"/>
                <w:szCs w:val="18"/>
              </w:rPr>
              <w:t>理财</w:t>
            </w:r>
            <w:r>
              <w:rPr>
                <w:rFonts w:hint="eastAsia" w:ascii="宋体" w:hAnsi="宋体"/>
                <w:bCs/>
                <w:sz w:val="18"/>
                <w:szCs w:val="18"/>
              </w:rPr>
              <w:t>产品后，</w:t>
            </w:r>
            <w:r>
              <w:rPr>
                <w:rFonts w:hint="eastAsia" w:ascii="宋体" w:hAnsi="宋体"/>
                <w:sz w:val="18"/>
                <w:szCs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asciiTheme="minorEastAsia" w:hAnsiTheme="minorEastAsia"/>
                <w:bCs/>
                <w:sz w:val="18"/>
                <w:szCs w:val="18"/>
              </w:rPr>
              <w:t>.认购期/</w:t>
            </w:r>
            <w:r>
              <w:rPr>
                <w:rFonts w:hint="eastAsia" w:ascii="宋体" w:hAnsi="宋体"/>
                <w:bCs/>
                <w:sz w:val="18"/>
                <w:szCs w:val="18"/>
              </w:rPr>
              <w:t>募集期内资金按照活期存款利息计息，认购期</w:t>
            </w:r>
            <w:r>
              <w:rPr>
                <w:rFonts w:ascii="宋体" w:hAnsi="宋体"/>
                <w:bCs/>
                <w:sz w:val="18"/>
                <w:szCs w:val="18"/>
              </w:rPr>
              <w:t>/募集期内的利息不计入认购本金</w:t>
            </w:r>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1.本产品的</w:t>
            </w:r>
            <w:r>
              <w:rPr>
                <w:rFonts w:hint="eastAsia" w:asciiTheme="minorEastAsia" w:hAnsiTheme="minorEastAsia"/>
                <w:bCs/>
                <w:sz w:val="18"/>
                <w:szCs w:val="18"/>
              </w:rPr>
              <w:t>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022】年【</w:t>
            </w:r>
            <w:r>
              <w:rPr>
                <w:rFonts w:hint="eastAsia" w:cs="Times New Roman" w:asciiTheme="minorEastAsia" w:hAnsiTheme="minorEastAsia"/>
                <w:sz w:val="18"/>
                <w:szCs w:val="18"/>
              </w:rPr>
              <w:t>4】月【14】日（遇节假日顺延）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宋体" w:hAnsi="宋体"/>
                <w:b/>
                <w:bCs/>
                <w:kern w:val="0"/>
                <w:sz w:val="18"/>
                <w:szCs w:val="18"/>
              </w:rPr>
              <w:t>申购/赎回安排</w:t>
            </w:r>
          </w:p>
        </w:tc>
        <w:tc>
          <w:tcPr>
            <w:tcW w:w="7704" w:type="dxa"/>
            <w:shd w:val="solid" w:color="FFFFFF" w:fill="FFFFFF"/>
          </w:tcPr>
          <w:p>
            <w:pPr>
              <w:spacing w:line="360" w:lineRule="auto"/>
              <w:rPr>
                <w:rFonts w:ascii="宋体" w:hAnsi="宋体"/>
                <w:bCs/>
                <w:sz w:val="18"/>
                <w:szCs w:val="18"/>
              </w:rPr>
            </w:pPr>
            <w:r>
              <w:rPr>
                <w:rFonts w:asciiTheme="minorEastAsia" w:hAnsiTheme="minorEastAsia"/>
                <w:sz w:val="18"/>
                <w:szCs w:val="18"/>
              </w:rPr>
              <w:t>1.</w:t>
            </w:r>
            <w:r>
              <w:rPr>
                <w:rFonts w:hint="eastAsia" w:ascii="宋体" w:hAnsi="宋体"/>
                <w:bCs/>
                <w:sz w:val="18"/>
                <w:szCs w:val="18"/>
              </w:rPr>
              <w:t>本产品的封闭期</w:t>
            </w:r>
          </w:p>
          <w:p>
            <w:pPr>
              <w:spacing w:line="360" w:lineRule="auto"/>
              <w:rPr>
                <w:rFonts w:asciiTheme="minorEastAsia" w:hAnsiTheme="minorEastAsia"/>
                <w:sz w:val="18"/>
                <w:szCs w:val="18"/>
              </w:rPr>
            </w:pPr>
            <w:r>
              <w:rPr>
                <w:rFonts w:ascii="宋体" w:hAnsi="宋体"/>
                <w:bCs/>
                <w:sz w:val="18"/>
                <w:szCs w:val="18"/>
              </w:rPr>
              <w:t>本产品成立后</w:t>
            </w:r>
            <w:r>
              <w:rPr>
                <w:rFonts w:hint="eastAsia" w:ascii="宋体" w:hAnsi="宋体"/>
                <w:bCs/>
                <w:sz w:val="18"/>
                <w:szCs w:val="18"/>
              </w:rPr>
              <w:t>，</w:t>
            </w:r>
            <w:r>
              <w:rPr>
                <w:rFonts w:ascii="宋体" w:hAnsi="宋体"/>
                <w:bCs/>
                <w:sz w:val="18"/>
                <w:szCs w:val="18"/>
              </w:rPr>
              <w:t>产品封闭期</w:t>
            </w:r>
            <w:r>
              <w:rPr>
                <w:rFonts w:hint="eastAsia" w:ascii="宋体" w:hAnsi="宋体"/>
                <w:bCs/>
                <w:sz w:val="18"/>
                <w:szCs w:val="18"/>
              </w:rPr>
              <w:t>为【</w:t>
            </w:r>
            <w:r>
              <w:rPr>
                <w:rFonts w:ascii="宋体" w:hAnsi="宋体"/>
                <w:bCs/>
                <w:sz w:val="18"/>
                <w:szCs w:val="18"/>
              </w:rPr>
              <w:t>2022</w:t>
            </w:r>
            <w:r>
              <w:rPr>
                <w:rFonts w:hint="eastAsia" w:ascii="宋体" w:hAnsi="宋体"/>
                <w:bCs/>
                <w:sz w:val="18"/>
                <w:szCs w:val="18"/>
              </w:rPr>
              <w:t>】年【4】月【14】日至【</w:t>
            </w:r>
            <w:r>
              <w:rPr>
                <w:rFonts w:ascii="宋体" w:hAnsi="宋体"/>
                <w:bCs/>
                <w:sz w:val="18"/>
                <w:szCs w:val="18"/>
              </w:rPr>
              <w:t>2022</w:t>
            </w:r>
            <w:r>
              <w:rPr>
                <w:rFonts w:hint="eastAsia" w:ascii="宋体" w:hAnsi="宋体"/>
                <w:bCs/>
                <w:sz w:val="18"/>
                <w:szCs w:val="18"/>
              </w:rPr>
              <w:t>】年【4】月【20】日，</w:t>
            </w:r>
            <w:r>
              <w:rPr>
                <w:rFonts w:hint="eastAsia" w:asciiTheme="minorEastAsia" w:hAnsiTheme="minorEastAsia"/>
                <w:sz w:val="18"/>
                <w:szCs w:val="18"/>
              </w:rPr>
              <w:t>封闭期内不接受申购或赎回申请。</w:t>
            </w:r>
          </w:p>
          <w:p>
            <w:pPr>
              <w:spacing w:line="360" w:lineRule="auto"/>
              <w:rPr>
                <w:rFonts w:asciiTheme="minorEastAsia" w:hAnsiTheme="minorEastAsia"/>
                <w:sz w:val="18"/>
                <w:szCs w:val="18"/>
              </w:rPr>
            </w:pPr>
            <w:r>
              <w:rPr>
                <w:rFonts w:hint="eastAsia" w:asciiTheme="minorEastAsia" w:hAnsiTheme="minorEastAsia"/>
                <w:sz w:val="18"/>
                <w:szCs w:val="18"/>
              </w:rPr>
              <w:t>2.本产品的开放期</w:t>
            </w:r>
          </w:p>
          <w:p>
            <w:pPr>
              <w:spacing w:line="360" w:lineRule="auto"/>
              <w:rPr>
                <w:rFonts w:ascii="宋体" w:hAnsi="宋体"/>
                <w:bCs/>
                <w:sz w:val="18"/>
                <w:szCs w:val="18"/>
              </w:rPr>
            </w:pPr>
            <w:r>
              <w:rPr>
                <w:rFonts w:hint="eastAsia" w:asciiTheme="minorEastAsia" w:hAnsiTheme="minorEastAsia"/>
                <w:sz w:val="18"/>
                <w:szCs w:val="18"/>
              </w:rPr>
              <w:t>本理财产品最短持有期为【60】个自然日。本产品封闭期结束后的第一个工作日起每日开放（产品管理人公告暂停开放的日期除外），投资者可于开放期内提交申购申请。自产品成立日/申购确认日起第【60】个自然日内（不含当日）投资者不能赎回该产品份额，自产品成立日/申购确认日起第【60】个自然日起（含当日），投资者可于任一开放日赎回该产品份额。</w:t>
            </w:r>
          </w:p>
          <w:p>
            <w:pPr>
              <w:spacing w:line="360" w:lineRule="auto"/>
              <w:rPr>
                <w:rFonts w:asciiTheme="minorEastAsia" w:hAnsiTheme="minorEastAsia"/>
                <w:sz w:val="18"/>
                <w:szCs w:val="18"/>
              </w:rPr>
            </w:pPr>
            <w:r>
              <w:rPr>
                <w:rFonts w:asciiTheme="minorEastAsia" w:hAnsiTheme="minorEastAsia"/>
                <w:sz w:val="18"/>
                <w:szCs w:val="18"/>
              </w:rPr>
              <w:t>3.</w:t>
            </w:r>
            <w:r>
              <w:rPr>
                <w:rFonts w:hint="eastAsia" w:asciiTheme="minorEastAsia" w:hAnsiTheme="minorEastAsia"/>
                <w:sz w:val="18"/>
                <w:szCs w:val="18"/>
              </w:rPr>
              <w:t>申购安排：</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（1）申购的时间</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投资者在工作日</w:t>
            </w:r>
            <w:r>
              <w:rPr>
                <w:rFonts w:hint="eastAsia" w:cs="Times New Roman" w:asciiTheme="minorEastAsia" w:hAnsiTheme="minorEastAsia"/>
                <w:sz w:val="18"/>
                <w:szCs w:val="18"/>
              </w:rPr>
              <w:t>【1</w:t>
            </w:r>
            <w:r>
              <w:rPr>
                <w:rFonts w:cs="Times New Roman" w:asciiTheme="minorEastAsia" w:hAnsiTheme="minorEastAsia"/>
                <w:sz w:val="18"/>
                <w:szCs w:val="18"/>
              </w:rPr>
              <w:t>5</w:t>
            </w:r>
            <w:r>
              <w:rPr>
                <w:rFonts w:hint="eastAsia" w:cs="Times New Roman" w:asciiTheme="minorEastAsia" w:hAnsiTheme="minorEastAsia"/>
                <w:sz w:val="18"/>
                <w:szCs w:val="18"/>
              </w:rPr>
              <w:t>：4</w:t>
            </w:r>
            <w:r>
              <w:rPr>
                <w:rFonts w:cs="Times New Roman" w:asciiTheme="minorEastAsia" w:hAnsiTheme="minorEastAsia"/>
                <w:sz w:val="18"/>
                <w:szCs w:val="18"/>
              </w:rPr>
              <w:t>5</w:t>
            </w:r>
            <w:r>
              <w:rPr>
                <w:rFonts w:hint="eastAsia" w:cs="Times New Roman" w:asciiTheme="minorEastAsia" w:hAnsiTheme="minorEastAsia"/>
                <w:sz w:val="18"/>
                <w:szCs w:val="18"/>
              </w:rPr>
              <w:t>】</w:t>
            </w:r>
            <w:r>
              <w:rPr>
                <w:rFonts w:hint="eastAsia" w:asciiTheme="minorEastAsia" w:hAnsiTheme="minorEastAsia" w:eastAsiaTheme="minorEastAsia"/>
                <w:sz w:val="18"/>
                <w:szCs w:val="18"/>
              </w:rPr>
              <w:t>前提交申购申请的，提交当日为申购日。</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投资者在工作日</w:t>
            </w:r>
            <w:r>
              <w:rPr>
                <w:rFonts w:hint="eastAsia" w:cs="Times New Roman" w:asciiTheme="minorEastAsia" w:hAnsiTheme="minorEastAsia"/>
                <w:sz w:val="18"/>
                <w:szCs w:val="18"/>
              </w:rPr>
              <w:t>【1</w:t>
            </w:r>
            <w:r>
              <w:rPr>
                <w:rFonts w:cs="Times New Roman" w:asciiTheme="minorEastAsia" w:hAnsiTheme="minorEastAsia"/>
                <w:sz w:val="18"/>
                <w:szCs w:val="18"/>
              </w:rPr>
              <w:t>5</w:t>
            </w:r>
            <w:r>
              <w:rPr>
                <w:rFonts w:hint="eastAsia" w:cs="Times New Roman" w:asciiTheme="minorEastAsia" w:hAnsiTheme="minorEastAsia"/>
                <w:sz w:val="18"/>
                <w:szCs w:val="18"/>
              </w:rPr>
              <w:t>：4</w:t>
            </w:r>
            <w:r>
              <w:rPr>
                <w:rFonts w:cs="Times New Roman" w:asciiTheme="minorEastAsia" w:hAnsiTheme="minorEastAsia"/>
                <w:sz w:val="18"/>
                <w:szCs w:val="18"/>
              </w:rPr>
              <w:t>5</w:t>
            </w:r>
            <w:r>
              <w:rPr>
                <w:rFonts w:hint="eastAsia" w:cs="Times New Roman" w:asciiTheme="minorEastAsia" w:hAnsiTheme="minorEastAsia"/>
                <w:sz w:val="18"/>
                <w:szCs w:val="18"/>
              </w:rPr>
              <w:t>】</w:t>
            </w:r>
            <w:r>
              <w:rPr>
                <w:rFonts w:hint="eastAsia" w:asciiTheme="minorEastAsia" w:hAnsiTheme="minorEastAsia" w:eastAsiaTheme="minorEastAsia"/>
                <w:sz w:val="18"/>
                <w:szCs w:val="18"/>
              </w:rPr>
              <w:t>后提交申购申请的，下一个工作日为申购日。</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投资者在非工作日提交申购申请的，下一个工作日为申购日。</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申购的确认</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申购日后的【2】个工作日内为申购确认日。</w:t>
            </w:r>
          </w:p>
          <w:p>
            <w:pPr>
              <w:spacing w:line="360" w:lineRule="auto"/>
              <w:rPr>
                <w:rFonts w:asciiTheme="minorEastAsia" w:hAnsiTheme="minorEastAsia" w:eastAsiaTheme="minorEastAsia"/>
                <w:sz w:val="18"/>
                <w:szCs w:val="18"/>
              </w:rPr>
            </w:pPr>
            <w:r>
              <w:rPr>
                <w:rFonts w:asciiTheme="minorEastAsia" w:hAnsiTheme="minorEastAsia" w:eastAsiaTheme="minorEastAsia"/>
                <w:sz w:val="18"/>
                <w:szCs w:val="18"/>
              </w:rPr>
              <w:t>4</w:t>
            </w:r>
            <w:r>
              <w:rPr>
                <w:rFonts w:hint="eastAsia" w:asciiTheme="minorEastAsia" w:hAnsiTheme="minorEastAsia" w:eastAsiaTheme="minorEastAsia"/>
                <w:sz w:val="18"/>
                <w:szCs w:val="18"/>
              </w:rPr>
              <w:t>.赎回安排</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hint="eastAsia" w:ascii="宋体" w:hAnsi="宋体"/>
                <w:bCs/>
                <w:sz w:val="18"/>
                <w:szCs w:val="18"/>
              </w:rPr>
              <w:t>赎回的时间</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投资者在工作日</w:t>
            </w:r>
            <w:r>
              <w:rPr>
                <w:rFonts w:hint="eastAsia" w:cs="Times New Roman" w:asciiTheme="minorEastAsia" w:hAnsiTheme="minorEastAsia"/>
                <w:sz w:val="18"/>
                <w:szCs w:val="18"/>
              </w:rPr>
              <w:t>【1</w:t>
            </w:r>
            <w:r>
              <w:rPr>
                <w:rFonts w:cs="Times New Roman" w:asciiTheme="minorEastAsia" w:hAnsiTheme="minorEastAsia"/>
                <w:sz w:val="18"/>
                <w:szCs w:val="18"/>
              </w:rPr>
              <w:t>5</w:t>
            </w:r>
            <w:r>
              <w:rPr>
                <w:rFonts w:hint="eastAsia" w:cs="Times New Roman" w:asciiTheme="minorEastAsia" w:hAnsiTheme="minorEastAsia"/>
                <w:sz w:val="18"/>
                <w:szCs w:val="18"/>
              </w:rPr>
              <w:t>：4</w:t>
            </w:r>
            <w:r>
              <w:rPr>
                <w:rFonts w:cs="Times New Roman" w:asciiTheme="minorEastAsia" w:hAnsiTheme="minorEastAsia"/>
                <w:sz w:val="18"/>
                <w:szCs w:val="18"/>
              </w:rPr>
              <w:t>5</w:t>
            </w:r>
            <w:r>
              <w:rPr>
                <w:rFonts w:hint="eastAsia" w:cs="Times New Roman" w:asciiTheme="minorEastAsia" w:hAnsiTheme="minorEastAsia"/>
                <w:sz w:val="18"/>
                <w:szCs w:val="18"/>
              </w:rPr>
              <w:t>】</w:t>
            </w:r>
            <w:r>
              <w:rPr>
                <w:rFonts w:hint="eastAsia" w:asciiTheme="minorEastAsia" w:hAnsiTheme="minorEastAsia" w:eastAsiaTheme="minorEastAsia"/>
                <w:sz w:val="18"/>
                <w:szCs w:val="18"/>
              </w:rPr>
              <w:t>前提交赎回申请的，提交当日为赎回日。</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投资者在工作日</w:t>
            </w:r>
            <w:r>
              <w:rPr>
                <w:rFonts w:hint="eastAsia" w:cs="Times New Roman" w:asciiTheme="minorEastAsia" w:hAnsiTheme="minorEastAsia"/>
                <w:sz w:val="18"/>
                <w:szCs w:val="18"/>
              </w:rPr>
              <w:t>【1</w:t>
            </w:r>
            <w:r>
              <w:rPr>
                <w:rFonts w:cs="Times New Roman" w:asciiTheme="minorEastAsia" w:hAnsiTheme="minorEastAsia"/>
                <w:sz w:val="18"/>
                <w:szCs w:val="18"/>
              </w:rPr>
              <w:t>5</w:t>
            </w:r>
            <w:r>
              <w:rPr>
                <w:rFonts w:hint="eastAsia" w:cs="Times New Roman" w:asciiTheme="minorEastAsia" w:hAnsiTheme="minorEastAsia"/>
                <w:sz w:val="18"/>
                <w:szCs w:val="18"/>
              </w:rPr>
              <w:t>：4</w:t>
            </w:r>
            <w:r>
              <w:rPr>
                <w:rFonts w:cs="Times New Roman" w:asciiTheme="minorEastAsia" w:hAnsiTheme="minorEastAsia"/>
                <w:sz w:val="18"/>
                <w:szCs w:val="18"/>
              </w:rPr>
              <w:t>5</w:t>
            </w:r>
            <w:r>
              <w:rPr>
                <w:rFonts w:hint="eastAsia" w:cs="Times New Roman" w:asciiTheme="minorEastAsia" w:hAnsiTheme="minorEastAsia"/>
                <w:sz w:val="18"/>
                <w:szCs w:val="18"/>
              </w:rPr>
              <w:t>】</w:t>
            </w:r>
            <w:r>
              <w:rPr>
                <w:rFonts w:hint="eastAsia" w:asciiTheme="minorEastAsia" w:hAnsiTheme="minorEastAsia" w:eastAsiaTheme="minorEastAsia"/>
                <w:sz w:val="18"/>
                <w:szCs w:val="18"/>
              </w:rPr>
              <w:t>后提交赎回申请的，下一个工作日为赎回日。</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投资者在非工作日提交赎回申请的，下一个工作日为赎回日。</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（2）赎回</w:t>
            </w:r>
            <w:r>
              <w:rPr>
                <w:rFonts w:asciiTheme="minorEastAsia" w:hAnsiTheme="minorEastAsia" w:eastAsiaTheme="minorEastAsia"/>
                <w:sz w:val="18"/>
                <w:szCs w:val="18"/>
              </w:rPr>
              <w:t>的确认</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赎回日后的【2】个工作日内为赎回确认日。</w:t>
            </w:r>
          </w:p>
          <w:p>
            <w:pPr>
              <w:spacing w:line="360" w:lineRule="auto"/>
              <w:rPr>
                <w:rFonts w:asciiTheme="minorEastAsia" w:hAnsiTheme="minorEastAsia" w:eastAsiaTheme="minorEastAsia"/>
                <w:sz w:val="18"/>
                <w:szCs w:val="18"/>
              </w:rPr>
            </w:pPr>
            <w:r>
              <w:rPr>
                <w:rFonts w:asciiTheme="minorEastAsia" w:hAnsiTheme="minorEastAsia" w:eastAsiaTheme="minorEastAsia"/>
                <w:sz w:val="18"/>
                <w:szCs w:val="18"/>
              </w:rPr>
              <w:t>5.</w:t>
            </w:r>
            <w:r>
              <w:rPr>
                <w:rFonts w:hint="eastAsia" w:asciiTheme="majorEastAsia" w:hAnsiTheme="majorEastAsia"/>
                <w:color w:val="000000" w:themeColor="text1"/>
                <w:sz w:val="18"/>
              </w:rPr>
              <w:t>赎回</w:t>
            </w:r>
            <w:r>
              <w:rPr>
                <w:rFonts w:hint="eastAsia" w:asciiTheme="majorEastAsia" w:hAnsiTheme="majorEastAsia" w:eastAsiaTheme="majorEastAsia"/>
                <w:bCs/>
                <w:color w:val="000000" w:themeColor="text1"/>
                <w:sz w:val="18"/>
                <w:szCs w:val="18"/>
              </w:rPr>
              <w:t>款项于</w:t>
            </w:r>
            <w:r>
              <w:rPr>
                <w:rFonts w:hint="eastAsia" w:cs="Times New Roman" w:asciiTheme="minorEastAsia" w:hAnsiTheme="minorEastAsia" w:eastAsiaTheme="minorEastAsia"/>
                <w:bCs/>
                <w:kern w:val="0"/>
                <w:sz w:val="18"/>
                <w:szCs w:val="18"/>
              </w:rPr>
              <w:t>赎回</w:t>
            </w:r>
            <w:r>
              <w:rPr>
                <w:rFonts w:hint="eastAsia" w:asciiTheme="minorEastAsia" w:hAnsiTheme="minorEastAsia"/>
                <w:kern w:val="0"/>
                <w:sz w:val="18"/>
              </w:rPr>
              <w:t>日后【3】个工作日</w:t>
            </w:r>
            <w:r>
              <w:rPr>
                <w:rFonts w:hint="eastAsia" w:cs="Times New Roman" w:asciiTheme="minorEastAsia" w:hAnsiTheme="minorEastAsia" w:eastAsiaTheme="minorEastAsia"/>
                <w:bCs/>
                <w:kern w:val="0"/>
                <w:sz w:val="18"/>
                <w:szCs w:val="18"/>
              </w:rPr>
              <w:t>内支付给</w:t>
            </w:r>
            <w:r>
              <w:rPr>
                <w:rFonts w:hint="eastAsia" w:asciiTheme="minorEastAsia" w:hAnsiTheme="minorEastAsia"/>
                <w:kern w:val="0"/>
                <w:sz w:val="18"/>
              </w:rPr>
              <w:t>投资者</w:t>
            </w:r>
            <w:r>
              <w:rPr>
                <w:rFonts w:hint="eastAsia" w:cs="Times New Roman" w:asciiTheme="minorEastAsia" w:hAnsiTheme="minorEastAsia" w:eastAsiaTheme="minorEastAsia"/>
                <w:bCs/>
                <w:kern w:val="0"/>
                <w:sz w:val="18"/>
                <w:szCs w:val="18"/>
              </w:rPr>
              <w:t>。</w:t>
            </w:r>
          </w:p>
          <w:p>
            <w:pPr>
              <w:spacing w:line="360" w:lineRule="auto"/>
              <w:rPr>
                <w:rFonts w:ascii="黑体" w:hAnsi="黑体" w:eastAsia="黑体"/>
                <w:bCs/>
                <w:color w:val="000000" w:themeColor="text1"/>
                <w:sz w:val="18"/>
                <w:szCs w:val="18"/>
              </w:rPr>
            </w:pPr>
            <w:r>
              <w:rPr>
                <w:rFonts w:hint="eastAsia" w:hAnsi="宋体"/>
                <w:sz w:val="18"/>
                <w:szCs w:val="18"/>
              </w:rPr>
              <w:t>★</w:t>
            </w:r>
            <w:r>
              <w:rPr>
                <w:rFonts w:hint="eastAsia" w:ascii="黑体" w:hAnsi="黑体" w:eastAsia="黑体"/>
                <w:bCs/>
                <w:color w:val="000000" w:themeColor="text1"/>
                <w:sz w:val="18"/>
                <w:szCs w:val="18"/>
              </w:rPr>
              <w:t>注：关于代理销售机构的实际工作服务时段的提示</w:t>
            </w:r>
          </w:p>
          <w:p>
            <w:pPr>
              <w:spacing w:line="360" w:lineRule="auto"/>
              <w:rPr>
                <w:rFonts w:ascii="黑体" w:hAnsi="黑体" w:eastAsia="黑体"/>
                <w:sz w:val="18"/>
                <w:szCs w:val="18"/>
              </w:rPr>
            </w:pPr>
            <w:r>
              <w:rPr>
                <w:rFonts w:hint="eastAsia" w:ascii="黑体" w:hAnsi="黑体" w:eastAsia="黑体"/>
                <w:sz w:val="18"/>
                <w:szCs w:val="18"/>
              </w:rPr>
              <w:t>①为本产品办理相关交易的实际工作服务时段，因代理销售机构的不同可能存在差异（可能晚于销售文件约定的起始时点开始或早于销售文件约定的终止时点结束），投资者应当</w:t>
            </w:r>
            <w:r>
              <w:rPr>
                <w:rFonts w:ascii="黑体" w:hAnsi="黑体" w:eastAsia="黑体"/>
                <w:sz w:val="18"/>
                <w:szCs w:val="18"/>
              </w:rPr>
              <w:t>以</w:t>
            </w:r>
            <w:r>
              <w:rPr>
                <w:rFonts w:hint="eastAsia" w:ascii="黑体" w:hAnsi="黑体" w:eastAsia="黑体"/>
                <w:sz w:val="18"/>
                <w:szCs w:val="18"/>
              </w:rPr>
              <w:t>代理销售机构的展示</w:t>
            </w:r>
            <w:r>
              <w:rPr>
                <w:rFonts w:ascii="黑体" w:hAnsi="黑体" w:eastAsia="黑体"/>
                <w:sz w:val="18"/>
                <w:szCs w:val="18"/>
              </w:rPr>
              <w:t>为准</w:t>
            </w:r>
            <w:r>
              <w:rPr>
                <w:rFonts w:hint="eastAsia" w:ascii="黑体" w:hAnsi="黑体" w:eastAsia="黑体"/>
                <w:sz w:val="18"/>
                <w:szCs w:val="18"/>
              </w:rPr>
              <w:t>。</w:t>
            </w:r>
          </w:p>
          <w:p>
            <w:pPr>
              <w:spacing w:line="360" w:lineRule="auto"/>
              <w:rPr>
                <w:rFonts w:ascii="黑体" w:hAnsi="黑体" w:eastAsia="黑体"/>
                <w:bCs/>
                <w:color w:val="000000" w:themeColor="text1"/>
                <w:sz w:val="18"/>
                <w:szCs w:val="18"/>
              </w:rPr>
            </w:pPr>
            <w:r>
              <w:rPr>
                <w:rFonts w:hint="eastAsia" w:ascii="黑体" w:hAnsi="黑体" w:eastAsia="黑体"/>
                <w:sz w:val="18"/>
                <w:szCs w:val="18"/>
              </w:rPr>
              <w:t>②代理销售机构的实际工作服务时段，最早不得早于销售文件约定</w:t>
            </w:r>
            <w:r>
              <w:rPr>
                <w:rFonts w:ascii="黑体" w:hAnsi="黑体" w:eastAsia="黑体"/>
                <w:sz w:val="18"/>
                <w:szCs w:val="18"/>
              </w:rPr>
              <w:t>的</w:t>
            </w:r>
            <w:r>
              <w:rPr>
                <w:rFonts w:hint="eastAsia" w:ascii="黑体" w:hAnsi="黑体" w:eastAsia="黑体"/>
                <w:sz w:val="18"/>
                <w:szCs w:val="18"/>
              </w:rPr>
              <w:t>起始时点、最晚不得晚于销售文件</w:t>
            </w:r>
            <w:r>
              <w:rPr>
                <w:rFonts w:ascii="黑体" w:hAnsi="黑体" w:eastAsia="黑体"/>
                <w:sz w:val="18"/>
                <w:szCs w:val="18"/>
              </w:rPr>
              <w:t>约定的</w:t>
            </w:r>
            <w:r>
              <w:rPr>
                <w:rFonts w:hint="eastAsia" w:ascii="黑体" w:hAnsi="黑体" w:eastAsia="黑体"/>
                <w:sz w:val="18"/>
                <w:szCs w:val="18"/>
              </w:rPr>
              <w:t>终止时点</w:t>
            </w:r>
            <w:r>
              <w:rPr>
                <w:rFonts w:ascii="黑体" w:hAnsi="黑体" w:eastAsia="黑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704" w:type="dxa"/>
            <w:shd w:val="solid" w:color="FFFFFF" w:fill="FFFFFF"/>
            <w:vAlign w:val="center"/>
          </w:tcPr>
          <w:p>
            <w:pPr>
              <w:spacing w:line="360" w:lineRule="auto"/>
              <w:rPr>
                <w:rFonts w:hAnsi="宋体"/>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.0】元；超出起点金额的部分以【</w:t>
            </w:r>
            <w:r>
              <w:rPr>
                <w:rFonts w:hint="eastAsia" w:asciiTheme="majorEastAsia" w:hAnsiTheme="majorEastAsia" w:eastAsiaTheme="majorEastAsia"/>
                <w:bCs/>
                <w:sz w:val="18"/>
                <w:szCs w:val="18"/>
              </w:rPr>
              <w:t>0</w:t>
            </w:r>
            <w:r>
              <w:rPr>
                <w:rFonts w:asciiTheme="majorEastAsia" w:hAnsiTheme="majorEastAsia" w:eastAsiaTheme="majorEastAsia"/>
                <w:bCs/>
                <w:sz w:val="18"/>
                <w:szCs w:val="18"/>
              </w:rPr>
              <w:t>.01】元的整数</w:t>
            </w:r>
            <w:r>
              <w:rPr>
                <w:rFonts w:hint="eastAsia" w:asciiTheme="majorEastAsia" w:hAnsiTheme="majorEastAsia" w:eastAsiaTheme="majorEastAsia"/>
                <w:bCs/>
                <w:sz w:val="18"/>
                <w:szCs w:val="18"/>
              </w:rPr>
              <w:t>倍递增。</w:t>
            </w:r>
            <w:r>
              <w:rPr>
                <w:rFonts w:hint="eastAsia" w:hAnsi="宋体"/>
                <w:bCs/>
                <w:sz w:val="18"/>
                <w:szCs w:val="18"/>
              </w:rPr>
              <w:t>（适用【A</w:t>
            </w:r>
            <w:r>
              <w:rPr>
                <w:rFonts w:hAnsi="宋体"/>
                <w:bCs/>
                <w:sz w:val="18"/>
                <w:szCs w:val="18"/>
              </w:rPr>
              <w:t>/B</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000】元；超出起点金额的部分以【1】元的整数</w:t>
            </w:r>
            <w:r>
              <w:rPr>
                <w:rFonts w:hint="eastAsia" w:asciiTheme="majorEastAsia" w:hAnsiTheme="majorEastAsia" w:eastAsiaTheme="majorEastAsia"/>
                <w:bCs/>
                <w:sz w:val="18"/>
                <w:szCs w:val="18"/>
              </w:rPr>
              <w:t>倍递增。</w:t>
            </w:r>
            <w:r>
              <w:rPr>
                <w:rFonts w:hint="eastAsia" w:hAnsi="宋体"/>
                <w:bCs/>
                <w:sz w:val="18"/>
                <w:szCs w:val="18"/>
              </w:rPr>
              <w:t>（适用【</w:t>
            </w:r>
            <w:r>
              <w:rPr>
                <w:rFonts w:hAnsi="宋体"/>
                <w:bCs/>
                <w:sz w:val="18"/>
                <w:szCs w:val="18"/>
              </w:rPr>
              <w:t>C</w:t>
            </w:r>
            <w:r>
              <w:rPr>
                <w:rFonts w:hint="eastAsia" w:hAnsi="宋体"/>
                <w:bCs/>
                <w:sz w:val="18"/>
                <w:szCs w:val="18"/>
              </w:rPr>
              <w:t>】类</w:t>
            </w:r>
            <w:r>
              <w:rPr>
                <w:rFonts w:hAnsi="宋体"/>
                <w:bCs/>
                <w:sz w:val="18"/>
                <w:szCs w:val="18"/>
              </w:rPr>
              <w:t>份额</w:t>
            </w:r>
            <w:r>
              <w:rPr>
                <w:rFonts w:hint="eastAsia" w:asciiTheme="majorEastAsia" w:hAnsiTheme="majorEastAsia" w:eastAsiaTheme="majorEastAsia"/>
                <w:bCs/>
                <w:color w:val="000000" w:themeColor="text1"/>
                <w:sz w:val="18"/>
                <w:szCs w:val="18"/>
              </w:rPr>
              <w:t>）</w:t>
            </w:r>
          </w:p>
          <w:p>
            <w:pPr>
              <w:spacing w:line="360" w:lineRule="auto"/>
              <w:rPr>
                <w:rFonts w:hAnsi="宋体"/>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.0】元；超出起点金额的部分以【1.0】元的整数</w:t>
            </w:r>
            <w:r>
              <w:rPr>
                <w:rFonts w:hint="eastAsia" w:asciiTheme="majorEastAsia" w:hAnsiTheme="majorEastAsia" w:eastAsiaTheme="majorEastAsia"/>
                <w:bCs/>
                <w:sz w:val="18"/>
                <w:szCs w:val="18"/>
              </w:rPr>
              <w:t>倍递增。</w:t>
            </w:r>
            <w:r>
              <w:rPr>
                <w:rFonts w:hint="eastAsia" w:hAnsi="宋体"/>
                <w:bCs/>
                <w:sz w:val="18"/>
                <w:szCs w:val="18"/>
              </w:rPr>
              <w:t>（适用【</w:t>
            </w:r>
            <w:r>
              <w:rPr>
                <w:rFonts w:hAnsi="宋体"/>
                <w:bCs/>
                <w:sz w:val="18"/>
                <w:szCs w:val="18"/>
              </w:rPr>
              <w:t>D</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rPr>
                <w:rFonts w:ascii="黑体" w:hAnsi="黑体" w:eastAsia="黑体"/>
                <w:bCs/>
                <w:color w:val="000000" w:themeColor="text1"/>
                <w:sz w:val="18"/>
                <w:szCs w:val="18"/>
              </w:rPr>
            </w:pPr>
            <w:r>
              <w:rPr>
                <w:rFonts w:hint="eastAsia" w:hAnsi="宋体"/>
                <w:sz w:val="18"/>
                <w:szCs w:val="18"/>
              </w:rPr>
              <w:t>★</w:t>
            </w:r>
            <w:r>
              <w:rPr>
                <w:rFonts w:hint="eastAsia" w:ascii="黑体" w:hAnsi="黑体" w:eastAsia="黑体"/>
                <w:bCs/>
                <w:color w:val="000000" w:themeColor="text1"/>
                <w:sz w:val="18"/>
                <w:szCs w:val="18"/>
              </w:rPr>
              <w:t>注</w:t>
            </w:r>
            <w:r>
              <w:rPr>
                <w:rFonts w:ascii="黑体" w:hAnsi="黑体" w:eastAsia="黑体"/>
                <w:bCs/>
                <w:color w:val="000000" w:themeColor="text1"/>
                <w:sz w:val="18"/>
                <w:szCs w:val="18"/>
              </w:rPr>
              <w:t>：</w:t>
            </w:r>
            <w:r>
              <w:rPr>
                <w:rFonts w:hint="eastAsia" w:ascii="黑体" w:hAnsi="黑体" w:eastAsia="黑体"/>
                <w:bCs/>
                <w:color w:val="000000" w:themeColor="text1"/>
                <w:sz w:val="18"/>
                <w:szCs w:val="18"/>
              </w:rPr>
              <w:t>关于代理销售机构的实际销售</w:t>
            </w:r>
            <w:r>
              <w:rPr>
                <w:rFonts w:ascii="黑体" w:hAnsi="黑体" w:eastAsia="黑体"/>
                <w:bCs/>
                <w:color w:val="000000" w:themeColor="text1"/>
                <w:sz w:val="18"/>
                <w:szCs w:val="18"/>
              </w:rPr>
              <w:t>起点金额</w:t>
            </w:r>
            <w:r>
              <w:rPr>
                <w:rFonts w:hint="eastAsia" w:ascii="黑体" w:hAnsi="黑体" w:eastAsia="黑体"/>
                <w:bCs/>
                <w:color w:val="000000" w:themeColor="text1"/>
                <w:sz w:val="18"/>
                <w:szCs w:val="18"/>
              </w:rPr>
              <w:t>的提示</w:t>
            </w:r>
          </w:p>
          <w:p>
            <w:pPr>
              <w:spacing w:line="360" w:lineRule="auto"/>
              <w:rPr>
                <w:rFonts w:ascii="黑体" w:hAnsi="黑体" w:eastAsia="黑体"/>
                <w:bCs/>
                <w:color w:val="000000" w:themeColor="text1"/>
                <w:sz w:val="18"/>
                <w:szCs w:val="18"/>
              </w:rPr>
            </w:pPr>
            <w:r>
              <w:rPr>
                <w:rFonts w:hint="eastAsia" w:ascii="黑体" w:hAnsi="黑体" w:eastAsia="黑体"/>
                <w:bCs/>
                <w:color w:val="000000" w:themeColor="text1"/>
                <w:sz w:val="18"/>
                <w:szCs w:val="18"/>
              </w:rPr>
              <w:t>①本产品在代理销售机构的实际销售起点金额，因代理销售机构的不同可能存在差异（可能高于销售文件约定的销售起点金额），应当</w:t>
            </w:r>
            <w:r>
              <w:rPr>
                <w:rFonts w:ascii="黑体" w:hAnsi="黑体" w:eastAsia="黑体"/>
                <w:bCs/>
                <w:color w:val="000000" w:themeColor="text1"/>
                <w:sz w:val="18"/>
                <w:szCs w:val="18"/>
              </w:rPr>
              <w:t>以</w:t>
            </w:r>
            <w:r>
              <w:rPr>
                <w:rFonts w:hint="eastAsia" w:ascii="黑体" w:hAnsi="黑体" w:eastAsia="黑体"/>
                <w:bCs/>
                <w:color w:val="000000" w:themeColor="text1"/>
                <w:sz w:val="18"/>
                <w:szCs w:val="18"/>
              </w:rPr>
              <w:t>代理销售机构展示</w:t>
            </w:r>
            <w:r>
              <w:rPr>
                <w:rFonts w:ascii="黑体" w:hAnsi="黑体" w:eastAsia="黑体"/>
                <w:bCs/>
                <w:color w:val="000000" w:themeColor="text1"/>
                <w:sz w:val="18"/>
                <w:szCs w:val="18"/>
              </w:rPr>
              <w:t>为准</w:t>
            </w:r>
            <w:r>
              <w:rPr>
                <w:rFonts w:hint="eastAsia" w:ascii="黑体" w:hAnsi="黑体" w:eastAsia="黑体"/>
                <w:bCs/>
                <w:color w:val="000000" w:themeColor="text1"/>
                <w:sz w:val="18"/>
                <w:szCs w:val="18"/>
              </w:rPr>
              <w:t>。</w:t>
            </w:r>
          </w:p>
          <w:p>
            <w:pPr>
              <w:spacing w:line="360" w:lineRule="auto"/>
              <w:jc w:val="left"/>
              <w:rPr>
                <w:rFonts w:cs="Times New Roman" w:asciiTheme="minorEastAsia" w:hAnsiTheme="minorEastAsia"/>
                <w:sz w:val="18"/>
                <w:szCs w:val="18"/>
              </w:rPr>
            </w:pPr>
            <w:r>
              <w:rPr>
                <w:rFonts w:hint="eastAsia" w:ascii="黑体" w:hAnsi="黑体" w:eastAsia="黑体"/>
                <w:bCs/>
                <w:color w:val="000000" w:themeColor="text1"/>
                <w:sz w:val="18"/>
                <w:szCs w:val="18"/>
              </w:rPr>
              <w:t>②代理销售机构的实际销售起点金额，</w:t>
            </w:r>
            <w:r>
              <w:rPr>
                <w:rFonts w:ascii="黑体" w:hAnsi="黑体" w:eastAsia="黑体"/>
                <w:bCs/>
                <w:color w:val="000000" w:themeColor="text1"/>
                <w:sz w:val="18"/>
                <w:szCs w:val="18"/>
              </w:rPr>
              <w:t>不得低于</w:t>
            </w:r>
            <w:r>
              <w:rPr>
                <w:rFonts w:hint="eastAsia" w:ascii="黑体" w:hAnsi="黑体" w:eastAsia="黑体"/>
                <w:bCs/>
                <w:color w:val="000000" w:themeColor="text1"/>
                <w:sz w:val="18"/>
                <w:szCs w:val="18"/>
              </w:rPr>
              <w:t>销售</w:t>
            </w:r>
            <w:r>
              <w:rPr>
                <w:rFonts w:ascii="黑体" w:hAnsi="黑体" w:eastAsia="黑体"/>
                <w:bCs/>
                <w:color w:val="000000" w:themeColor="text1"/>
                <w:sz w:val="18"/>
                <w:szCs w:val="18"/>
              </w:rPr>
              <w:t>文件约定的</w:t>
            </w:r>
            <w:r>
              <w:rPr>
                <w:rFonts w:hint="eastAsia" w:ascii="黑体" w:hAnsi="黑体" w:eastAsia="黑体"/>
                <w:bCs/>
                <w:color w:val="000000" w:themeColor="text1"/>
                <w:sz w:val="18"/>
                <w:szCs w:val="18"/>
              </w:rPr>
              <w:t>销售</w:t>
            </w:r>
            <w:r>
              <w:rPr>
                <w:rFonts w:ascii="黑体" w:hAnsi="黑体" w:eastAsia="黑体"/>
                <w:bCs/>
                <w:color w:val="000000" w:themeColor="text1"/>
                <w:sz w:val="18"/>
                <w:szCs w:val="18"/>
              </w:rPr>
              <w:t>起点金额</w:t>
            </w:r>
            <w:r>
              <w:rPr>
                <w:rFonts w:hint="eastAsia" w:ascii="黑体" w:hAnsi="黑体" w:eastAsia="黑体"/>
                <w:bCs/>
                <w:color w:val="000000" w:themeColor="text1"/>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autoSpaceDE w:val="0"/>
              <w:autoSpaceDN w:val="0"/>
              <w:adjustRightInd w:val="0"/>
              <w:spacing w:line="360" w:lineRule="auto"/>
              <w:jc w:val="left"/>
              <w:rPr>
                <w:rFonts w:hAnsi="宋体"/>
                <w:b/>
                <w:sz w:val="18"/>
                <w:szCs w:val="18"/>
              </w:rPr>
            </w:pPr>
            <w:r>
              <w:rPr>
                <w:rFonts w:hint="eastAsia" w:hAnsi="宋体"/>
                <w:b/>
                <w:sz w:val="18"/>
                <w:szCs w:val="18"/>
              </w:rPr>
              <w:t xml:space="preserve">★认购、申购与赎回的数量限制 </w:t>
            </w:r>
            <w:r>
              <w:rPr>
                <w:rFonts w:hAnsi="宋体"/>
                <w:b/>
                <w:sz w:val="18"/>
                <w:szCs w:val="18"/>
              </w:rPr>
              <w:t xml:space="preserve"> </w:t>
            </w:r>
          </w:p>
        </w:tc>
        <w:tc>
          <w:tcPr>
            <w:tcW w:w="7704" w:type="dxa"/>
            <w:shd w:val="solid" w:color="FFFFFF" w:fill="FFFFFF"/>
            <w:vAlign w:val="center"/>
          </w:tcPr>
          <w:p>
            <w:pPr>
              <w:pStyle w:val="43"/>
              <w:spacing w:line="360" w:lineRule="auto"/>
              <w:rPr>
                <w:rFonts w:asciiTheme="minorEastAsia" w:hAnsiTheme="minorEastAsia" w:eastAsiaTheme="minorEastAsia"/>
                <w:color w:val="auto"/>
                <w:sz w:val="18"/>
                <w:szCs w:val="18"/>
              </w:rPr>
            </w:pPr>
            <w:r>
              <w:rPr>
                <w:rFonts w:hint="eastAsia" w:hAnsi="宋体"/>
                <w:bCs/>
                <w:sz w:val="18"/>
                <w:szCs w:val="18"/>
              </w:rPr>
              <w:t>（适用【A/B/C</w:t>
            </w:r>
            <w:r>
              <w:rPr>
                <w:rFonts w:hAnsi="宋体"/>
                <w:bCs/>
                <w:sz w:val="18"/>
                <w:szCs w:val="18"/>
              </w:rPr>
              <w:t>/D</w:t>
            </w:r>
            <w:r>
              <w:rPr>
                <w:rFonts w:hint="eastAsia" w:hAnsi="宋体"/>
                <w:bCs/>
                <w:sz w:val="18"/>
                <w:szCs w:val="18"/>
              </w:rPr>
              <w:t>】类</w:t>
            </w:r>
            <w:r>
              <w:rPr>
                <w:rFonts w:hAnsi="宋体"/>
                <w:bCs/>
                <w:sz w:val="18"/>
                <w:szCs w:val="18"/>
              </w:rPr>
              <w:t>份额</w:t>
            </w:r>
            <w:r>
              <w:rPr>
                <w:rFonts w:hint="eastAsia" w:hAnsi="宋体"/>
                <w:bCs/>
                <w:sz w:val="18"/>
                <w:szCs w:val="18"/>
              </w:rPr>
              <w:t>）</w:t>
            </w:r>
          </w:p>
          <w:p>
            <w:pPr>
              <w:pStyle w:val="43"/>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1.认购的数量限制</w:t>
            </w:r>
          </w:p>
          <w:p>
            <w:pPr>
              <w:pStyle w:val="43"/>
              <w:spacing w:line="360" w:lineRule="auto"/>
              <w:rPr>
                <w:rFonts w:hAnsi="宋体"/>
                <w:bCs/>
                <w:sz w:val="18"/>
                <w:szCs w:val="18"/>
              </w:rPr>
            </w:pPr>
            <w:r>
              <w:rPr>
                <w:rFonts w:hint="eastAsia" w:asciiTheme="minorEastAsia" w:hAnsiTheme="minorEastAsia" w:eastAsiaTheme="minorEastAsia"/>
                <w:color w:val="auto"/>
                <w:sz w:val="18"/>
                <w:szCs w:val="18"/>
              </w:rPr>
              <w:t>单一投资者认购上限为【/】。如需突破上限，请与产品管理人或销售机构客户经理联系。</w:t>
            </w:r>
          </w:p>
          <w:p>
            <w:pPr>
              <w:pStyle w:val="43"/>
              <w:spacing w:line="360" w:lineRule="auto"/>
              <w:rPr>
                <w:rFonts w:asciiTheme="minorEastAsia" w:hAnsiTheme="minorEastAsia" w:eastAsiaTheme="minorEastAsia"/>
                <w:color w:val="auto"/>
                <w:sz w:val="18"/>
                <w:szCs w:val="18"/>
              </w:rPr>
            </w:pPr>
            <w:r>
              <w:rPr>
                <w:rFonts w:hint="eastAsia" w:hAnsi="宋体"/>
                <w:bCs/>
                <w:sz w:val="18"/>
                <w:szCs w:val="18"/>
              </w:rPr>
              <w:t>2.</w:t>
            </w:r>
            <w:r>
              <w:rPr>
                <w:rFonts w:hint="eastAsia" w:asciiTheme="minorEastAsia" w:hAnsiTheme="minorEastAsia" w:eastAsiaTheme="minorEastAsia"/>
                <w:color w:val="auto"/>
                <w:sz w:val="18"/>
                <w:szCs w:val="18"/>
              </w:rPr>
              <w:t>申购的数量限制</w:t>
            </w:r>
          </w:p>
          <w:p>
            <w:pPr>
              <w:pStyle w:val="43"/>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（1）单一投资者申购上限为【/】。</w:t>
            </w:r>
          </w:p>
          <w:p>
            <w:pPr>
              <w:pStyle w:val="43"/>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43"/>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43"/>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3.赎回的数量限制</w:t>
            </w:r>
          </w:p>
          <w:p>
            <w:pPr>
              <w:pStyle w:val="43"/>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（1）单一投资者赎回上限为【/】。</w:t>
            </w:r>
          </w:p>
          <w:p>
            <w:pPr>
              <w:pStyle w:val="43"/>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投资者可全部或部分赎回其理财份额，但是部分赎回后单一投资者持有产品份额不得低于【/】份。受理财利益分配去尾规则的影响，投资者持有产品份额较低时可能无法取得利益。巨额赎回情景发生时，投资者的可赎回份额需要根据巨额赎回规则确定。</w:t>
            </w:r>
          </w:p>
          <w:p>
            <w:pPr>
              <w:pStyle w:val="43"/>
              <w:spacing w:line="360" w:lineRule="auto"/>
              <w:rPr>
                <w:rFonts w:ascii="黑体" w:hAnsi="黑体" w:eastAsia="黑体"/>
                <w:bCs/>
                <w:color w:val="000000" w:themeColor="text1"/>
                <w:sz w:val="18"/>
                <w:szCs w:val="18"/>
              </w:rPr>
            </w:pPr>
            <w:r>
              <w:rPr>
                <w:rFonts w:hint="eastAsia" w:hAnsi="宋体"/>
                <w:sz w:val="18"/>
                <w:szCs w:val="18"/>
              </w:rPr>
              <w:t>★</w:t>
            </w:r>
            <w:r>
              <w:rPr>
                <w:rFonts w:hint="eastAsia" w:ascii="黑体" w:hAnsi="黑体" w:eastAsia="黑体"/>
                <w:bCs/>
                <w:color w:val="000000" w:themeColor="text1"/>
                <w:sz w:val="18"/>
                <w:szCs w:val="18"/>
              </w:rPr>
              <w:t>注</w:t>
            </w:r>
            <w:r>
              <w:rPr>
                <w:rFonts w:ascii="黑体" w:hAnsi="黑体" w:eastAsia="黑体"/>
                <w:bCs/>
                <w:color w:val="000000" w:themeColor="text1"/>
                <w:sz w:val="18"/>
                <w:szCs w:val="18"/>
              </w:rPr>
              <w:t>：</w:t>
            </w:r>
            <w:r>
              <w:rPr>
                <w:rFonts w:hint="eastAsia" w:ascii="黑体" w:hAnsi="黑体" w:eastAsia="黑体"/>
                <w:bCs/>
                <w:color w:val="000000" w:themeColor="text1"/>
                <w:sz w:val="18"/>
                <w:szCs w:val="18"/>
              </w:rPr>
              <w:t>本产品单一投资者持有份额不得超过产品总份额50%。</w:t>
            </w:r>
          </w:p>
          <w:p>
            <w:pPr>
              <w:pStyle w:val="43"/>
              <w:spacing w:line="360" w:lineRule="auto"/>
              <w:rPr>
                <w:rFonts w:ascii="黑体" w:hAnsi="黑体" w:eastAsia="黑体"/>
                <w:bCs/>
                <w:color w:val="000000" w:themeColor="text1"/>
                <w:sz w:val="18"/>
                <w:szCs w:val="18"/>
              </w:rPr>
            </w:pPr>
            <w:r>
              <w:rPr>
                <w:rFonts w:hint="eastAsia" w:ascii="黑体" w:hAnsi="黑体" w:eastAsia="黑体"/>
                <w:bCs/>
                <w:color w:val="000000" w:themeColor="text1"/>
                <w:sz w:val="18"/>
                <w:szCs w:val="18"/>
              </w:rPr>
              <w:t>（1）投资者认购或申购确认后可能导致其持有份额超过产品总份额50%的，管理人有权拒绝或暂停认购、申购。</w:t>
            </w:r>
          </w:p>
          <w:p>
            <w:pPr>
              <w:pStyle w:val="43"/>
              <w:spacing w:line="360" w:lineRule="auto"/>
              <w:rPr>
                <w:rFonts w:ascii="黑体" w:hAnsi="黑体" w:eastAsia="黑体"/>
                <w:bCs/>
                <w:color w:val="000000" w:themeColor="text1"/>
                <w:sz w:val="18"/>
                <w:szCs w:val="18"/>
              </w:rPr>
            </w:pPr>
            <w:r>
              <w:rPr>
                <w:rFonts w:hint="eastAsia" w:ascii="黑体" w:hAnsi="黑体" w:eastAsia="黑体"/>
                <w:bCs/>
                <w:color w:val="000000" w:themeColor="text1"/>
                <w:sz w:val="18"/>
                <w:szCs w:val="18"/>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tcPr>
          <w:p>
            <w:pPr>
              <w:spacing w:line="360" w:lineRule="auto"/>
              <w:jc w:val="left"/>
              <w:rPr>
                <w:rFonts w:hAnsi="宋体"/>
                <w:b/>
                <w:sz w:val="18"/>
                <w:szCs w:val="18"/>
              </w:rPr>
            </w:pPr>
            <w:r>
              <w:rPr>
                <w:rFonts w:hint="eastAsia"/>
                <w:sz w:val="18"/>
                <w:szCs w:val="18"/>
              </w:rPr>
              <w:t>★</w:t>
            </w:r>
            <w:r>
              <w:rPr>
                <w:rFonts w:hint="eastAsia" w:hAnsi="宋体"/>
                <w:b/>
                <w:sz w:val="18"/>
                <w:szCs w:val="18"/>
              </w:rPr>
              <w:t>巨额赎回的认定</w:t>
            </w:r>
          </w:p>
        </w:tc>
        <w:tc>
          <w:tcPr>
            <w:tcW w:w="7704" w:type="dxa"/>
            <w:shd w:val="solid" w:color="FFFFFF" w:fill="FFFFFF"/>
          </w:tcPr>
          <w:p>
            <w:pPr>
              <w:pStyle w:val="43"/>
              <w:spacing w:line="360" w:lineRule="auto"/>
              <w:rPr>
                <w:rFonts w:asciiTheme="minorEastAsia" w:hAnsiTheme="minorEastAsia" w:eastAsiaTheme="minorEastAsia"/>
                <w:color w:val="auto"/>
                <w:sz w:val="18"/>
                <w:szCs w:val="18"/>
              </w:rPr>
            </w:pPr>
            <w:r>
              <w:rPr>
                <w:rFonts w:hint="eastAsia" w:asciiTheme="majorEastAsia" w:hAnsiTheme="majorEastAsia" w:eastAsiaTheme="majorEastAsia"/>
                <w:bCs/>
                <w:sz w:val="18"/>
                <w:szCs w:val="18"/>
              </w:rPr>
              <w:t>每</w:t>
            </w:r>
            <w:r>
              <w:rPr>
                <w:rFonts w:asciiTheme="majorEastAsia" w:hAnsiTheme="majorEastAsia" w:eastAsiaTheme="majorEastAsia"/>
                <w:bCs/>
                <w:sz w:val="18"/>
                <w:szCs w:val="18"/>
              </w:rPr>
              <w:t>个</w:t>
            </w:r>
            <w:r>
              <w:rPr>
                <w:rFonts w:hint="eastAsia" w:asciiTheme="majorEastAsia" w:hAnsiTheme="majorEastAsia" w:eastAsiaTheme="majorEastAsia"/>
                <w:bCs/>
                <w:sz w:val="18"/>
                <w:szCs w:val="18"/>
              </w:rPr>
              <w:t>赎回</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，本产品的净赎回申请（赎回</w:t>
            </w:r>
            <w:r>
              <w:rPr>
                <w:rFonts w:hint="eastAsia" w:asciiTheme="majorEastAsia" w:hAnsiTheme="majorEastAsia" w:eastAsiaTheme="majorEastAsia"/>
                <w:bCs/>
                <w:color w:val="auto"/>
                <w:sz w:val="18"/>
                <w:szCs w:val="18"/>
              </w:rPr>
              <w:t>申请</w:t>
            </w:r>
            <w:r>
              <w:rPr>
                <w:rFonts w:hint="eastAsia" w:asciiTheme="majorEastAsia" w:hAnsiTheme="majorEastAsia" w:eastAsiaTheme="majorEastAsia"/>
                <w:bCs/>
                <w:sz w:val="18"/>
                <w:szCs w:val="18"/>
              </w:rPr>
              <w:t>份额总数扣除申购</w:t>
            </w:r>
            <w:r>
              <w:rPr>
                <w:rFonts w:hint="eastAsia" w:asciiTheme="majorEastAsia" w:hAnsiTheme="majorEastAsia" w:eastAsiaTheme="majorEastAsia"/>
                <w:bCs/>
                <w:color w:val="auto"/>
                <w:sz w:val="18"/>
                <w:szCs w:val="18"/>
              </w:rPr>
              <w:t>申请总</w:t>
            </w:r>
            <w:r>
              <w:rPr>
                <w:rFonts w:hint="eastAsia" w:asciiTheme="majorEastAsia" w:hAnsiTheme="majorEastAsia" w:eastAsiaTheme="majorEastAsia"/>
                <w:bCs/>
                <w:sz w:val="18"/>
                <w:szCs w:val="18"/>
              </w:rPr>
              <w:t>份额后的余额</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下同）超过上一赎回日产品总份额的【</w:t>
            </w:r>
            <w:r>
              <w:rPr>
                <w:rFonts w:asciiTheme="majorEastAsia" w:hAnsiTheme="majorEastAsia" w:eastAsiaTheme="majorEastAsia"/>
                <w:bCs/>
                <w:sz w:val="18"/>
                <w:szCs w:val="18"/>
              </w:rPr>
              <w:t>10</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，为巨额赎回。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70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70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日之前的估值日公布的产品份额净值已扣除交易手续费、销售服务费、产品托管费、投资管理费。</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赎回日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704" w:type="dxa"/>
            <w:shd w:val="solid" w:color="FFFFFF" w:fill="FFFFFF"/>
            <w:vAlign w:val="center"/>
          </w:tcPr>
          <w:p>
            <w:pPr>
              <w:spacing w:line="360" w:lineRule="auto"/>
              <w:jc w:val="left"/>
              <w:rPr>
                <w:rFonts w:asciiTheme="majorEastAsia" w:hAnsiTheme="majorEastAsia"/>
                <w:bCs/>
                <w:sz w:val="18"/>
                <w:szCs w:val="18"/>
              </w:rPr>
            </w:pPr>
            <w:r>
              <w:rPr>
                <w:rFonts w:hint="eastAsia" w:ascii="宋体" w:hAnsi="宋体"/>
                <w:b/>
                <w:bCs/>
                <w:sz w:val="18"/>
                <w:szCs w:val="18"/>
              </w:rPr>
              <w:t>1.业绩比较基准的说明：【</w:t>
            </w:r>
            <w:r>
              <w:rPr>
                <w:rFonts w:hint="eastAsia" w:asciiTheme="majorEastAsia" w:hAnsiTheme="majorEastAsia" w:eastAsiaTheme="majorEastAsia"/>
                <w:bCs/>
                <w:sz w:val="18"/>
                <w:szCs w:val="18"/>
              </w:rPr>
              <w:t>基于当前对未来市场的判断，根据拟投资固定收益类资产的信用利差、久期敞口以及流动性溢价，预判组合的波动幅度。</w:t>
            </w:r>
            <w:r>
              <w:rPr>
                <w:rFonts w:ascii="宋体" w:hAnsi="宋体"/>
                <w:b/>
                <w:bCs/>
                <w:sz w:val="18"/>
                <w:szCs w:val="18"/>
              </w:rPr>
              <w:t>】</w:t>
            </w:r>
            <w:r>
              <w:rPr>
                <w:rFonts w:hint="eastAsia" w:ascii="宋体" w:hAnsi="宋体"/>
                <w:b/>
                <w:bCs/>
                <w:sz w:val="18"/>
                <w:szCs w:val="18"/>
              </w:rPr>
              <w:t>。</w:t>
            </w:r>
          </w:p>
          <w:p>
            <w:pPr>
              <w:spacing w:line="360" w:lineRule="auto"/>
              <w:jc w:val="left"/>
              <w:rPr>
                <w:rFonts w:asciiTheme="majorEastAsia" w:hAnsiTheme="majorEastAsia"/>
                <w:b/>
                <w:sz w:val="18"/>
              </w:rPr>
            </w:pPr>
            <w:r>
              <w:rPr>
                <w:rFonts w:asciiTheme="majorEastAsia" w:hAnsiTheme="majorEastAsia" w:eastAsiaTheme="majorEastAsia"/>
                <w:b/>
                <w:bCs/>
                <w:sz w:val="18"/>
                <w:szCs w:val="18"/>
              </w:rPr>
              <w:t>2.业绩比较基准的设定</w:t>
            </w:r>
            <w:r>
              <w:rPr>
                <w:rFonts w:hint="eastAsia" w:asciiTheme="majorEastAsia" w:hAnsiTheme="majorEastAsia" w:eastAsiaTheme="majorEastAsia"/>
                <w:bCs/>
                <w:sz w:val="18"/>
                <w:szCs w:val="18"/>
              </w:rPr>
              <w:t>：</w:t>
            </w:r>
            <w:r>
              <w:rPr>
                <w:rFonts w:hint="eastAsia" w:asciiTheme="majorEastAsia" w:hAnsiTheme="majorEastAsia"/>
                <w:b/>
                <w:sz w:val="18"/>
              </w:rPr>
              <w:t>管理人对</w:t>
            </w:r>
            <w:r>
              <w:rPr>
                <w:rFonts w:asciiTheme="majorEastAsia" w:hAnsiTheme="majorEastAsia"/>
                <w:b/>
                <w:sz w:val="18"/>
              </w:rPr>
              <w:t>本产品设定</w:t>
            </w:r>
            <w:r>
              <w:rPr>
                <w:rFonts w:hint="eastAsia" w:asciiTheme="majorEastAsia" w:hAnsiTheme="majorEastAsia"/>
                <w:b/>
                <w:sz w:val="18"/>
              </w:rPr>
              <w:t>业绩比较基准：</w:t>
            </w:r>
          </w:p>
          <w:p>
            <w:pPr>
              <w:spacing w:line="360" w:lineRule="auto"/>
              <w:jc w:val="left"/>
              <w:rPr>
                <w:rFonts w:ascii="宋体" w:hAnsi="宋体"/>
                <w:b/>
                <w:bCs/>
                <w:sz w:val="18"/>
                <w:szCs w:val="18"/>
              </w:rPr>
            </w:pPr>
            <w:r>
              <w:rPr>
                <w:rFonts w:hint="eastAsia" w:asciiTheme="majorEastAsia" w:hAnsiTheme="majorEastAsia" w:eastAsiaTheme="majorEastAsia"/>
                <w:bCs/>
                <w:sz w:val="18"/>
                <w:szCs w:val="18"/>
              </w:rPr>
              <w:t>年化</w:t>
            </w:r>
            <w:r>
              <w:rPr>
                <w:rFonts w:hint="eastAsia" w:ascii="宋体" w:hAnsi="宋体"/>
                <w:b/>
                <w:bCs/>
                <w:sz w:val="18"/>
                <w:szCs w:val="18"/>
              </w:rPr>
              <w:t>【</w:t>
            </w:r>
            <w:r>
              <w:rPr>
                <w:rFonts w:hint="eastAsia" w:asciiTheme="minorEastAsia" w:hAnsiTheme="minorEastAsia"/>
                <w:sz w:val="18"/>
                <w:szCs w:val="18"/>
              </w:rPr>
              <w:t>2</w:t>
            </w:r>
            <w:r>
              <w:rPr>
                <w:rFonts w:asciiTheme="minorEastAsia" w:hAnsiTheme="minorEastAsia"/>
                <w:sz w:val="18"/>
                <w:szCs w:val="18"/>
              </w:rPr>
              <w:t>.</w:t>
            </w:r>
            <w:r>
              <w:rPr>
                <w:rFonts w:hint="eastAsia" w:asciiTheme="minorEastAsia" w:hAnsiTheme="minorEastAsia"/>
                <w:sz w:val="18"/>
                <w:szCs w:val="18"/>
              </w:rPr>
              <w:t>8</w:t>
            </w:r>
            <w:r>
              <w:rPr>
                <w:rFonts w:asciiTheme="minorEastAsia" w:hAnsiTheme="minorEastAsia"/>
                <w:sz w:val="18"/>
                <w:szCs w:val="18"/>
              </w:rPr>
              <w:t>0-4.00</w:t>
            </w:r>
            <w:r>
              <w:rPr>
                <w:rFonts w:ascii="宋体" w:hAnsi="宋体"/>
                <w:b/>
                <w:bCs/>
                <w:sz w:val="18"/>
                <w:szCs w:val="18"/>
              </w:rPr>
              <w:t>】</w:t>
            </w:r>
            <w:r>
              <w:rPr>
                <w:rFonts w:hint="eastAsia" w:ascii="宋体" w:hAnsi="宋体"/>
                <w:b/>
                <w:bCs/>
                <w:sz w:val="18"/>
                <w:szCs w:val="18"/>
              </w:rPr>
              <w:t>%</w:t>
            </w:r>
            <w:r>
              <w:rPr>
                <w:rFonts w:hint="eastAsia" w:hAnsi="宋体"/>
                <w:bCs/>
                <w:sz w:val="18"/>
                <w:szCs w:val="18"/>
              </w:rPr>
              <w:t>（适用【</w:t>
            </w:r>
            <w:r>
              <w:rPr>
                <w:rFonts w:hAnsi="宋体"/>
                <w:bCs/>
                <w:sz w:val="18"/>
                <w:szCs w:val="18"/>
              </w:rPr>
              <w:t>A</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int="eastAsia" w:asciiTheme="majorEastAsia" w:hAnsiTheme="majorEastAsia" w:eastAsiaTheme="majorEastAsia"/>
                <w:bCs/>
                <w:sz w:val="18"/>
                <w:szCs w:val="18"/>
              </w:rPr>
              <w:t>年化</w:t>
            </w:r>
            <w:r>
              <w:rPr>
                <w:rFonts w:hint="eastAsia" w:ascii="宋体" w:hAnsi="宋体"/>
                <w:b/>
                <w:bCs/>
                <w:sz w:val="18"/>
                <w:szCs w:val="18"/>
              </w:rPr>
              <w:t>【</w:t>
            </w:r>
            <w:r>
              <w:rPr>
                <w:rFonts w:hint="eastAsia" w:asciiTheme="minorEastAsia" w:hAnsiTheme="minorEastAsia"/>
                <w:sz w:val="18"/>
                <w:szCs w:val="18"/>
              </w:rPr>
              <w:t>2</w:t>
            </w:r>
            <w:r>
              <w:rPr>
                <w:rFonts w:asciiTheme="minorEastAsia" w:hAnsiTheme="minorEastAsia"/>
                <w:sz w:val="18"/>
                <w:szCs w:val="18"/>
              </w:rPr>
              <w:t>.</w:t>
            </w:r>
            <w:r>
              <w:rPr>
                <w:rFonts w:hint="eastAsia" w:asciiTheme="minorEastAsia" w:hAnsiTheme="minorEastAsia"/>
                <w:sz w:val="18"/>
                <w:szCs w:val="18"/>
              </w:rPr>
              <w:t>7</w:t>
            </w:r>
            <w:r>
              <w:rPr>
                <w:rFonts w:asciiTheme="minorEastAsia" w:hAnsiTheme="minorEastAsia"/>
                <w:sz w:val="18"/>
                <w:szCs w:val="18"/>
              </w:rPr>
              <w:t>0-3.90</w:t>
            </w:r>
            <w:r>
              <w:rPr>
                <w:rFonts w:ascii="宋体" w:hAnsi="宋体"/>
                <w:b/>
                <w:bCs/>
                <w:sz w:val="18"/>
                <w:szCs w:val="18"/>
              </w:rPr>
              <w:t>】</w:t>
            </w:r>
            <w:r>
              <w:rPr>
                <w:rFonts w:hint="eastAsia" w:ascii="宋体" w:hAnsi="宋体"/>
                <w:b/>
                <w:bCs/>
                <w:sz w:val="18"/>
                <w:szCs w:val="18"/>
              </w:rPr>
              <w:t>%</w:t>
            </w:r>
            <w:r>
              <w:rPr>
                <w:rFonts w:hint="eastAsia" w:hAnsi="宋体"/>
                <w:bCs/>
                <w:sz w:val="18"/>
                <w:szCs w:val="18"/>
              </w:rPr>
              <w:t>（适用【</w:t>
            </w:r>
            <w:r>
              <w:rPr>
                <w:rFonts w:hAnsi="宋体"/>
                <w:bCs/>
                <w:sz w:val="18"/>
                <w:szCs w:val="18"/>
              </w:rPr>
              <w:t>B</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int="eastAsia" w:asciiTheme="majorEastAsia" w:hAnsiTheme="majorEastAsia" w:eastAsiaTheme="majorEastAsia"/>
                <w:bCs/>
                <w:sz w:val="18"/>
                <w:szCs w:val="18"/>
              </w:rPr>
              <w:t>年化</w:t>
            </w:r>
            <w:r>
              <w:rPr>
                <w:rFonts w:hint="eastAsia" w:ascii="宋体" w:hAnsi="宋体"/>
                <w:b/>
                <w:bCs/>
                <w:sz w:val="18"/>
                <w:szCs w:val="18"/>
              </w:rPr>
              <w:t>【</w:t>
            </w:r>
            <w:r>
              <w:rPr>
                <w:rFonts w:hint="eastAsia" w:asciiTheme="minorEastAsia" w:hAnsiTheme="minorEastAsia"/>
                <w:sz w:val="18"/>
                <w:szCs w:val="18"/>
              </w:rPr>
              <w:t>2</w:t>
            </w:r>
            <w:r>
              <w:rPr>
                <w:rFonts w:asciiTheme="minorEastAsia" w:hAnsiTheme="minorEastAsia"/>
                <w:sz w:val="18"/>
                <w:szCs w:val="18"/>
              </w:rPr>
              <w:t>.</w:t>
            </w:r>
            <w:r>
              <w:rPr>
                <w:rFonts w:hint="eastAsia" w:asciiTheme="minorEastAsia" w:hAnsiTheme="minorEastAsia"/>
                <w:sz w:val="18"/>
                <w:szCs w:val="18"/>
              </w:rPr>
              <w:t>7</w:t>
            </w:r>
            <w:r>
              <w:rPr>
                <w:rFonts w:asciiTheme="minorEastAsia" w:hAnsiTheme="minorEastAsia"/>
                <w:sz w:val="18"/>
                <w:szCs w:val="18"/>
              </w:rPr>
              <w:t>5-3.95</w:t>
            </w:r>
            <w:r>
              <w:rPr>
                <w:rFonts w:ascii="宋体" w:hAnsi="宋体"/>
                <w:b/>
                <w:bCs/>
                <w:sz w:val="18"/>
                <w:szCs w:val="18"/>
              </w:rPr>
              <w:t>】</w:t>
            </w:r>
            <w:r>
              <w:rPr>
                <w:rFonts w:hint="eastAsia" w:ascii="宋体" w:hAnsi="宋体"/>
                <w:b/>
                <w:bCs/>
                <w:sz w:val="18"/>
                <w:szCs w:val="18"/>
              </w:rPr>
              <w:t>%</w:t>
            </w:r>
            <w:r>
              <w:rPr>
                <w:rFonts w:hint="eastAsia" w:hAnsi="宋体"/>
                <w:bCs/>
                <w:sz w:val="18"/>
                <w:szCs w:val="18"/>
              </w:rPr>
              <w:t>（适用【</w:t>
            </w:r>
            <w:r>
              <w:rPr>
                <w:rFonts w:hAnsi="宋体"/>
                <w:bCs/>
                <w:sz w:val="18"/>
                <w:szCs w:val="18"/>
              </w:rPr>
              <w:t>C</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年化</w:t>
            </w:r>
            <w:r>
              <w:rPr>
                <w:rFonts w:hint="eastAsia" w:ascii="宋体" w:hAnsi="宋体"/>
                <w:b/>
                <w:bCs/>
                <w:sz w:val="18"/>
                <w:szCs w:val="18"/>
              </w:rPr>
              <w:t>【</w:t>
            </w:r>
            <w:r>
              <w:rPr>
                <w:rFonts w:hint="eastAsia" w:asciiTheme="minorEastAsia" w:hAnsiTheme="minorEastAsia"/>
                <w:sz w:val="18"/>
                <w:szCs w:val="18"/>
              </w:rPr>
              <w:t>2</w:t>
            </w:r>
            <w:r>
              <w:rPr>
                <w:rFonts w:asciiTheme="minorEastAsia" w:hAnsiTheme="minorEastAsia"/>
                <w:sz w:val="18"/>
                <w:szCs w:val="18"/>
              </w:rPr>
              <w:t>.55-3.75</w:t>
            </w:r>
            <w:r>
              <w:rPr>
                <w:rFonts w:ascii="宋体" w:hAnsi="宋体"/>
                <w:b/>
                <w:bCs/>
                <w:sz w:val="18"/>
                <w:szCs w:val="18"/>
              </w:rPr>
              <w:t>】</w:t>
            </w:r>
            <w:r>
              <w:rPr>
                <w:rFonts w:hint="eastAsia" w:ascii="宋体" w:hAnsi="宋体"/>
                <w:b/>
                <w:bCs/>
                <w:sz w:val="18"/>
                <w:szCs w:val="18"/>
              </w:rPr>
              <w:t>%</w:t>
            </w:r>
            <w:r>
              <w:rPr>
                <w:rFonts w:hint="eastAsia" w:hAnsi="宋体"/>
                <w:bCs/>
                <w:sz w:val="18"/>
                <w:szCs w:val="18"/>
              </w:rPr>
              <w:t>（适用【</w:t>
            </w:r>
            <w:r>
              <w:rPr>
                <w:rFonts w:hAnsi="宋体"/>
                <w:bCs/>
                <w:sz w:val="18"/>
                <w:szCs w:val="18"/>
              </w:rPr>
              <w:t>D</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3.业绩比较基准的提示：</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（1）业绩比较基准不代表理财产品未来表现，不等于理财产品实际收益，不作为产品收益的业绩保证，投资须谨慎。</w:t>
            </w:r>
          </w:p>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业绩报酬计提基准</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本产品不设置业绩报酬计提基准。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704" w:type="dxa"/>
            <w:shd w:val="solid" w:color="FFFFFF" w:fill="FFFFFF"/>
            <w:vAlign w:val="center"/>
          </w:tcPr>
          <w:p>
            <w:pPr>
              <w:spacing w:line="360" w:lineRule="auto"/>
              <w:jc w:val="left"/>
              <w:rPr>
                <w:rFonts w:ascii="宋体" w:hAnsi="宋体"/>
                <w:sz w:val="18"/>
                <w:szCs w:val="18"/>
              </w:rPr>
            </w:pPr>
            <w:r>
              <w:rPr>
                <w:rFonts w:ascii="宋体" w:hAnsi="宋体"/>
                <w:sz w:val="18"/>
                <w:szCs w:val="18"/>
              </w:rPr>
              <w:t>1.</w:t>
            </w:r>
            <w:r>
              <w:rPr>
                <w:rFonts w:hint="eastAsia" w:ascii="宋体" w:hAnsi="宋体"/>
                <w:sz w:val="18"/>
                <w:szCs w:val="18"/>
              </w:rPr>
              <w:t>认购费：【</w:t>
            </w:r>
            <w:r>
              <w:rPr>
                <w:rFonts w:ascii="宋体" w:hAnsi="宋体"/>
                <w:sz w:val="18"/>
                <w:szCs w:val="18"/>
              </w:rPr>
              <w:t>/</w:t>
            </w:r>
            <w:r>
              <w:rPr>
                <w:rFonts w:hint="eastAsia" w:ascii="宋体" w:hAnsi="宋体"/>
                <w:sz w:val="18"/>
                <w:szCs w:val="18"/>
              </w:rPr>
              <w:t>】</w:t>
            </w:r>
          </w:p>
          <w:p>
            <w:pPr>
              <w:spacing w:line="360" w:lineRule="auto"/>
              <w:jc w:val="left"/>
              <w:rPr>
                <w:rFonts w:ascii="宋体" w:hAnsi="宋体"/>
                <w:sz w:val="18"/>
                <w:szCs w:val="18"/>
              </w:rPr>
            </w:pPr>
            <w:r>
              <w:rPr>
                <w:rFonts w:ascii="宋体" w:hAnsi="宋体"/>
                <w:sz w:val="18"/>
                <w:szCs w:val="18"/>
              </w:rPr>
              <w:t>2.申购费：</w:t>
            </w:r>
            <w:r>
              <w:rPr>
                <w:rFonts w:hint="eastAsia" w:ascii="宋体" w:hAnsi="宋体"/>
                <w:sz w:val="18"/>
                <w:szCs w:val="18"/>
              </w:rPr>
              <w:t>【</w:t>
            </w:r>
            <w:r>
              <w:rPr>
                <w:rFonts w:ascii="宋体" w:hAnsi="宋体"/>
                <w:sz w:val="18"/>
                <w:szCs w:val="18"/>
              </w:rPr>
              <w:t>/</w:t>
            </w:r>
            <w:r>
              <w:rPr>
                <w:rFonts w:hint="eastAsia" w:ascii="宋体" w:hAnsi="宋体"/>
                <w:sz w:val="18"/>
                <w:szCs w:val="18"/>
              </w:rPr>
              <w:t>】</w:t>
            </w:r>
          </w:p>
          <w:p>
            <w:pPr>
              <w:spacing w:line="360" w:lineRule="auto"/>
              <w:jc w:val="left"/>
              <w:rPr>
                <w:rFonts w:ascii="宋体" w:hAnsi="宋体"/>
                <w:sz w:val="18"/>
                <w:szCs w:val="18"/>
              </w:rPr>
            </w:pPr>
            <w:r>
              <w:rPr>
                <w:rFonts w:ascii="宋体" w:hAnsi="宋体"/>
                <w:sz w:val="18"/>
                <w:szCs w:val="18"/>
              </w:rPr>
              <w:t>3.</w:t>
            </w:r>
            <w:r>
              <w:rPr>
                <w:rFonts w:hint="eastAsia" w:ascii="宋体" w:hAnsi="宋体"/>
                <w:sz w:val="18"/>
                <w:szCs w:val="18"/>
              </w:rPr>
              <w:t>赎回费：【</w:t>
            </w:r>
            <w:r>
              <w:rPr>
                <w:rFonts w:ascii="宋体" w:hAnsi="宋体"/>
                <w:sz w:val="18"/>
                <w:szCs w:val="18"/>
              </w:rPr>
              <w:t>/</w:t>
            </w:r>
            <w:r>
              <w:rPr>
                <w:rFonts w:hint="eastAsia" w:ascii="宋体" w:hAnsi="宋体"/>
                <w:sz w:val="18"/>
                <w:szCs w:val="18"/>
              </w:rPr>
              <w:t>】</w:t>
            </w:r>
          </w:p>
          <w:p>
            <w:pPr>
              <w:spacing w:line="360" w:lineRule="auto"/>
              <w:jc w:val="left"/>
              <w:rPr>
                <w:rFonts w:ascii="宋体" w:hAnsi="宋体"/>
                <w:sz w:val="18"/>
                <w:szCs w:val="18"/>
              </w:rPr>
            </w:pPr>
            <w:r>
              <w:rPr>
                <w:rFonts w:ascii="宋体" w:hAnsi="宋体"/>
                <w:sz w:val="18"/>
                <w:szCs w:val="18"/>
              </w:rPr>
              <w:t>4.销售服</w:t>
            </w:r>
            <w:r>
              <w:rPr>
                <w:rFonts w:hint="eastAsia" w:ascii="宋体" w:hAnsi="宋体"/>
                <w:sz w:val="18"/>
                <w:szCs w:val="18"/>
              </w:rPr>
              <w:t>务费：</w:t>
            </w:r>
            <w:r>
              <w:rPr>
                <w:rFonts w:ascii="宋体" w:hAnsi="宋体"/>
                <w:sz w:val="18"/>
                <w:szCs w:val="18"/>
              </w:rPr>
              <w:t>年化费率</w:t>
            </w:r>
            <w:r>
              <w:rPr>
                <w:rFonts w:hint="eastAsia" w:ascii="宋体" w:hAnsi="宋体"/>
                <w:sz w:val="18"/>
                <w:szCs w:val="18"/>
              </w:rPr>
              <w:t>【</w:t>
            </w:r>
            <w:r>
              <w:rPr>
                <w:rFonts w:ascii="宋体" w:hAnsi="宋体"/>
                <w:sz w:val="18"/>
                <w:szCs w:val="18"/>
              </w:rPr>
              <w:t>0.40</w:t>
            </w:r>
            <w:r>
              <w:rPr>
                <w:rFonts w:hint="eastAsia" w:ascii="宋体" w:hAnsi="宋体"/>
                <w:sz w:val="18"/>
                <w:szCs w:val="18"/>
              </w:rPr>
              <w:t>%】</w:t>
            </w:r>
            <w:r>
              <w:rPr>
                <w:rFonts w:hint="eastAsia" w:hAnsi="宋体"/>
                <w:bCs/>
                <w:sz w:val="18"/>
                <w:szCs w:val="18"/>
              </w:rPr>
              <w:t>（适用【A/B/</w:t>
            </w:r>
            <w:r>
              <w:rPr>
                <w:rFonts w:hAnsi="宋体"/>
                <w:bCs/>
                <w:sz w:val="18"/>
                <w:szCs w:val="18"/>
              </w:rPr>
              <w:t>C</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ascii="宋体" w:hAnsi="宋体"/>
                <w:sz w:val="18"/>
                <w:szCs w:val="18"/>
              </w:rPr>
            </w:pPr>
            <w:r>
              <w:rPr>
                <w:rFonts w:ascii="宋体" w:hAnsi="宋体"/>
                <w:sz w:val="18"/>
                <w:szCs w:val="18"/>
              </w:rPr>
              <w:t>年化费率</w:t>
            </w:r>
            <w:r>
              <w:rPr>
                <w:rFonts w:hint="eastAsia" w:ascii="宋体" w:hAnsi="宋体"/>
                <w:sz w:val="18"/>
                <w:szCs w:val="18"/>
              </w:rPr>
              <w:t>【</w:t>
            </w:r>
            <w:r>
              <w:rPr>
                <w:rFonts w:ascii="宋体" w:hAnsi="宋体"/>
                <w:sz w:val="18"/>
                <w:szCs w:val="18"/>
              </w:rPr>
              <w:t>0.30</w:t>
            </w:r>
            <w:r>
              <w:rPr>
                <w:rFonts w:hint="eastAsia" w:ascii="宋体" w:hAnsi="宋体"/>
                <w:sz w:val="18"/>
                <w:szCs w:val="18"/>
              </w:rPr>
              <w:t>%】</w:t>
            </w:r>
            <w:r>
              <w:rPr>
                <w:rFonts w:hint="eastAsia" w:hAnsi="宋体"/>
                <w:bCs/>
                <w:sz w:val="18"/>
                <w:szCs w:val="18"/>
              </w:rPr>
              <w:t>（适用【</w:t>
            </w:r>
            <w:r>
              <w:rPr>
                <w:rFonts w:hAnsi="宋体"/>
                <w:bCs/>
                <w:sz w:val="18"/>
                <w:szCs w:val="18"/>
              </w:rPr>
              <w:t>D</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ascii="宋体" w:hAnsi="宋体"/>
                <w:sz w:val="18"/>
                <w:szCs w:val="18"/>
              </w:rPr>
            </w:pPr>
            <w:r>
              <w:rPr>
                <w:rFonts w:ascii="宋体" w:hAnsi="宋体"/>
                <w:sz w:val="18"/>
                <w:szCs w:val="18"/>
              </w:rPr>
              <w:t>5.</w:t>
            </w:r>
            <w:r>
              <w:rPr>
                <w:rFonts w:hint="eastAsia" w:ascii="宋体" w:hAnsi="宋体"/>
                <w:sz w:val="18"/>
                <w:szCs w:val="18"/>
              </w:rPr>
              <w:t>投资管理费：年化</w:t>
            </w:r>
            <w:r>
              <w:rPr>
                <w:rFonts w:ascii="宋体" w:hAnsi="宋体"/>
                <w:sz w:val="18"/>
                <w:szCs w:val="18"/>
              </w:rPr>
              <w:t>费率</w:t>
            </w:r>
            <w:r>
              <w:rPr>
                <w:rFonts w:hint="eastAsia" w:ascii="宋体" w:hAnsi="宋体"/>
                <w:sz w:val="18"/>
                <w:szCs w:val="18"/>
              </w:rPr>
              <w:t>【</w:t>
            </w:r>
            <w:r>
              <w:rPr>
                <w:rFonts w:ascii="宋体" w:hAnsi="宋体"/>
                <w:sz w:val="18"/>
                <w:szCs w:val="18"/>
              </w:rPr>
              <w:t>0.30</w:t>
            </w:r>
            <w:r>
              <w:rPr>
                <w:rFonts w:hint="eastAsia" w:ascii="宋体" w:hAnsi="宋体"/>
                <w:sz w:val="18"/>
                <w:szCs w:val="18"/>
              </w:rPr>
              <w:t>%</w:t>
            </w:r>
            <w:r>
              <w:rPr>
                <w:rFonts w:ascii="宋体" w:hAnsi="宋体"/>
                <w:sz w:val="18"/>
                <w:szCs w:val="18"/>
              </w:rPr>
              <w:t>】</w:t>
            </w:r>
          </w:p>
          <w:p>
            <w:pPr>
              <w:spacing w:line="360" w:lineRule="auto"/>
              <w:jc w:val="left"/>
              <w:rPr>
                <w:rFonts w:ascii="宋体" w:hAnsi="宋体"/>
                <w:sz w:val="18"/>
                <w:szCs w:val="18"/>
              </w:rPr>
            </w:pPr>
            <w:r>
              <w:rPr>
                <w:rFonts w:ascii="宋体" w:hAnsi="宋体"/>
                <w:sz w:val="18"/>
                <w:szCs w:val="18"/>
              </w:rPr>
              <w:t>6.</w:t>
            </w:r>
            <w:r>
              <w:rPr>
                <w:rFonts w:hint="eastAsia" w:ascii="宋体" w:hAnsi="宋体"/>
                <w:sz w:val="18"/>
                <w:szCs w:val="18"/>
              </w:rPr>
              <w:t>产品托管费：年化</w:t>
            </w:r>
            <w:r>
              <w:rPr>
                <w:rFonts w:ascii="宋体" w:hAnsi="宋体"/>
                <w:sz w:val="18"/>
                <w:szCs w:val="18"/>
              </w:rPr>
              <w:t>费率</w:t>
            </w:r>
            <w:r>
              <w:rPr>
                <w:rFonts w:hint="eastAsia" w:ascii="宋体" w:hAnsi="宋体"/>
                <w:sz w:val="18"/>
                <w:szCs w:val="18"/>
              </w:rPr>
              <w:t>【</w:t>
            </w:r>
            <w:r>
              <w:rPr>
                <w:rFonts w:ascii="宋体" w:hAnsi="宋体"/>
                <w:sz w:val="18"/>
                <w:szCs w:val="18"/>
              </w:rPr>
              <w:t>0.03</w:t>
            </w:r>
            <w:r>
              <w:rPr>
                <w:rFonts w:hint="eastAsia" w:ascii="宋体" w:hAnsi="宋体"/>
                <w:sz w:val="18"/>
                <w:szCs w:val="18"/>
              </w:rPr>
              <w:t>%】</w:t>
            </w:r>
          </w:p>
          <w:p>
            <w:pPr>
              <w:widowControl/>
              <w:spacing w:line="360" w:lineRule="auto"/>
              <w:jc w:val="left"/>
              <w:rPr>
                <w:rFonts w:ascii="宋体" w:hAnsi="宋体"/>
                <w:sz w:val="18"/>
                <w:szCs w:val="18"/>
              </w:rPr>
            </w:pPr>
            <w:r>
              <w:rPr>
                <w:rFonts w:hint="eastAsia" w:ascii="宋体" w:hAnsi="宋体"/>
                <w:sz w:val="18"/>
                <w:szCs w:val="18"/>
              </w:rPr>
              <w:t>7.超额业绩报酬：无</w:t>
            </w:r>
          </w:p>
          <w:p>
            <w:pPr>
              <w:spacing w:line="360" w:lineRule="auto"/>
              <w:rPr>
                <w:rFonts w:ascii="黑体" w:hAnsi="黑体" w:eastAsia="黑体"/>
                <w:bCs/>
                <w:sz w:val="18"/>
                <w:szCs w:val="18"/>
              </w:rPr>
            </w:pPr>
            <w:r>
              <w:rPr>
                <w:rFonts w:ascii="宋体" w:hAnsi="宋体"/>
                <w:bCs/>
                <w:sz w:val="18"/>
                <w:szCs w:val="18"/>
              </w:rPr>
              <w:t>8</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704" w:type="dxa"/>
            <w:shd w:val="solid" w:color="FFFFFF" w:fill="FFFFFF"/>
            <w:vAlign w:val="center"/>
          </w:tcPr>
          <w:p>
            <w:pPr>
              <w:spacing w:line="360" w:lineRule="auto"/>
              <w:rPr>
                <w:rFonts w:ascii="宋体" w:hAnsi="宋体"/>
                <w:bCs/>
                <w:color w:val="000000" w:themeColor="text1"/>
                <w:sz w:val="18"/>
                <w:szCs w:val="18"/>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tbl>
    <w:p>
      <w:pPr>
        <w:pStyle w:val="43"/>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79" w:name="_Toc28202"/>
      <w:bookmarkStart w:id="80" w:name="_Toc79154666"/>
      <w:bookmarkStart w:id="81" w:name="_Toc92377132"/>
      <w:r>
        <w:rPr>
          <w:rFonts w:ascii="Times New Roman"/>
          <w:sz w:val="30"/>
        </w:rPr>
        <w:t>第</w:t>
      </w:r>
      <w:r>
        <w:rPr>
          <w:rFonts w:hint="eastAsia" w:ascii="Times New Roman"/>
          <w:sz w:val="30"/>
        </w:rPr>
        <w:t>三条</w:t>
      </w:r>
      <w:r>
        <w:rPr>
          <w:rFonts w:ascii="Times New Roman"/>
          <w:sz w:val="30"/>
        </w:rPr>
        <w:t xml:space="preserve">  </w:t>
      </w:r>
      <w:bookmarkStart w:id="82" w:name="_Toc79392573"/>
      <w:r>
        <w:rPr>
          <w:rFonts w:hint="eastAsia" w:ascii="Times New Roman"/>
          <w:sz w:val="30"/>
        </w:rPr>
        <w:t>理财产品的认购</w:t>
      </w:r>
      <w:bookmarkEnd w:id="79"/>
      <w:bookmarkEnd w:id="80"/>
      <w:bookmarkEnd w:id="81"/>
    </w:p>
    <w:p>
      <w:pPr>
        <w:spacing w:line="360" w:lineRule="auto"/>
        <w:ind w:firstLine="361" w:firstLineChars="200"/>
        <w:rPr>
          <w:rFonts w:asciiTheme="minorEastAsia" w:hAnsiTheme="minorEastAsia"/>
          <w:b/>
          <w:bCs/>
          <w:sz w:val="18"/>
          <w:szCs w:val="18"/>
        </w:rPr>
      </w:pPr>
      <w:bookmarkStart w:id="83" w:name="_Hlt88031774"/>
      <w:bookmarkEnd w:id="83"/>
      <w:bookmarkStart w:id="84"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43"/>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43"/>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w:t>
            </w:r>
            <w:r>
              <w:rPr>
                <w:rFonts w:hint="eastAsia" w:cs="Times New Roman" w:asciiTheme="minorEastAsia" w:hAnsiTheme="minorEastAsia" w:eastAsiaTheme="minorEastAsia"/>
                <w:bCs/>
                <w:sz w:val="18"/>
                <w:szCs w:val="18"/>
              </w:rPr>
              <w:t>，并登记理财份额</w:t>
            </w:r>
            <w:r>
              <w:rPr>
                <w:rFonts w:hint="eastAsia" w:cs="Times New Roman" w:asciiTheme="minorEastAsia" w:hAnsiTheme="minorEastAsia"/>
                <w:bCs/>
                <w:kern w:val="0"/>
                <w:sz w:val="18"/>
                <w:szCs w:val="18"/>
              </w:rPr>
              <w:t>。</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w:t>
      </w:r>
      <w:r>
        <w:rPr>
          <w:rFonts w:asciiTheme="minorEastAsia" w:hAnsiTheme="minorEastAsia"/>
          <w:bCs/>
          <w:color w:val="auto"/>
          <w:sz w:val="18"/>
          <w:szCs w:val="18"/>
        </w:rPr>
        <w:t>产品管理人</w:t>
      </w:r>
      <w:r>
        <w:rPr>
          <w:rFonts w:hint="eastAsia" w:asciiTheme="minorEastAsia" w:hAnsiTheme="minorEastAsia"/>
          <w:bCs/>
          <w:color w:val="auto"/>
          <w:sz w:val="18"/>
          <w:szCs w:val="18"/>
        </w:rPr>
        <w:t>可受理投资者提交的认购申请。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43"/>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p>
    <w:p>
      <w:pPr>
        <w:pStyle w:val="43"/>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43"/>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43"/>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43"/>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43"/>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.认购的起点和追加金额</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spacing w:line="360" w:lineRule="auto"/>
        <w:ind w:firstLine="360" w:firstLineChars="200"/>
        <w:rPr>
          <w:rFonts w:asciiTheme="minorEastAsia" w:hAnsiTheme="minorEastAsia"/>
          <w:bCs/>
          <w:sz w:val="18"/>
          <w:szCs w:val="18"/>
        </w:rPr>
      </w:pPr>
      <w:r>
        <w:rPr>
          <w:rFonts w:hint="eastAsia" w:asciiTheme="minorEastAsia" w:hAnsiTheme="minorEastAsia"/>
          <w:bCs/>
          <w:sz w:val="18"/>
          <w:szCs w:val="18"/>
        </w:rPr>
        <w:t>投资者认购资金在产品认购期内按照活期存款利率计息，但在产品认购期所产生的利息不作为理财</w:t>
      </w:r>
      <w:r>
        <w:rPr>
          <w:rFonts w:asciiTheme="minorEastAsia" w:hAnsiTheme="minorEastAsia"/>
          <w:bCs/>
          <w:sz w:val="18"/>
          <w:szCs w:val="18"/>
        </w:rPr>
        <w:t>资金</w:t>
      </w:r>
      <w:r>
        <w:rPr>
          <w:rFonts w:hint="eastAsia" w:asciiTheme="minorEastAsia" w:hAnsiTheme="minorEastAsia"/>
          <w:bCs/>
          <w:sz w:val="18"/>
          <w:szCs w:val="18"/>
        </w:rPr>
        <w:t>进入理财运作，不计算理财利益。</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43"/>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43"/>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spacing w:line="360" w:lineRule="auto"/>
        <w:ind w:firstLine="360" w:firstLineChars="200"/>
        <w:rPr>
          <w:rFonts w:asciiTheme="minorEastAsia" w:hAnsiTheme="minorEastAsia"/>
          <w:bCs/>
          <w:sz w:val="18"/>
          <w:szCs w:val="18"/>
        </w:rPr>
      </w:pP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pPr>
        <w:pStyle w:val="2"/>
        <w:spacing w:before="0" w:after="0" w:line="360" w:lineRule="auto"/>
        <w:jc w:val="center"/>
        <w:rPr>
          <w:rFonts w:ascii="Times New Roman"/>
          <w:sz w:val="30"/>
        </w:rPr>
      </w:pPr>
      <w:bookmarkStart w:id="85" w:name="_Toc92377133"/>
      <w:bookmarkStart w:id="86" w:name="_Toc25541"/>
      <w:bookmarkStart w:id="87" w:name="_Toc79154667"/>
      <w:r>
        <w:rPr>
          <w:rFonts w:hint="eastAsia" w:ascii="Times New Roman"/>
          <w:sz w:val="30"/>
        </w:rPr>
        <w:t xml:space="preserve">第四条 </w:t>
      </w:r>
      <w:r>
        <w:rPr>
          <w:rFonts w:ascii="Times New Roman"/>
          <w:sz w:val="30"/>
        </w:rPr>
        <w:t xml:space="preserve"> </w:t>
      </w:r>
      <w:r>
        <w:rPr>
          <w:rFonts w:hint="eastAsia" w:ascii="Times New Roman"/>
          <w:sz w:val="30"/>
        </w:rPr>
        <w:t>理财产品的申购与赎回</w:t>
      </w:r>
      <w:bookmarkEnd w:id="85"/>
      <w:bookmarkEnd w:id="86"/>
      <w:bookmarkEnd w:id="87"/>
    </w:p>
    <w:bookmarkEnd w:id="84"/>
    <w:p>
      <w:pPr>
        <w:spacing w:line="360" w:lineRule="auto"/>
        <w:ind w:firstLine="420" w:firstLineChars="200"/>
      </w:pPr>
    </w:p>
    <w:p>
      <w:pPr>
        <w:pStyle w:val="43"/>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（一）理财产品的申购</w:t>
      </w:r>
    </w:p>
    <w:p>
      <w:pPr>
        <w:pStyle w:val="43"/>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申购的时间</w:t>
      </w:r>
    </w:p>
    <w:p>
      <w:pPr>
        <w:pStyle w:val="70"/>
        <w:ind w:firstLine="360"/>
      </w:pPr>
      <w:r>
        <w:rPr>
          <w:rFonts w:hint="eastAsia" w:ascii="宋体" w:hAnsi="宋体"/>
          <w:sz w:val="18"/>
          <w:szCs w:val="18"/>
        </w:rPr>
        <w:t>本产品</w:t>
      </w:r>
      <w:r>
        <w:rPr>
          <w:rFonts w:hint="eastAsia" w:asciiTheme="majorEastAsia" w:hAnsiTheme="majorEastAsia" w:eastAsiaTheme="majorEastAsia"/>
          <w:bCs/>
          <w:sz w:val="18"/>
          <w:szCs w:val="18"/>
        </w:rPr>
        <w:t>具体申购时间以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p>
    <w:p>
      <w:pPr>
        <w:pStyle w:val="43"/>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2.申购的方式</w:t>
      </w:r>
    </w:p>
    <w:p>
      <w:pPr>
        <w:pStyle w:val="43"/>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投资者可通过</w:t>
      </w:r>
      <w:r>
        <w:rPr>
          <w:rFonts w:hint="eastAsia" w:asciiTheme="minorEastAsia" w:hAnsiTheme="minorEastAsia"/>
          <w:bCs/>
          <w:color w:val="auto"/>
          <w:sz w:val="18"/>
          <w:szCs w:val="18"/>
        </w:rPr>
        <w:t>销售机构的销售</w:t>
      </w:r>
      <w:r>
        <w:rPr>
          <w:rFonts w:asciiTheme="minorEastAsia" w:hAnsiTheme="minorEastAsia"/>
          <w:bCs/>
          <w:color w:val="auto"/>
          <w:sz w:val="18"/>
          <w:szCs w:val="18"/>
        </w:rPr>
        <w:t>渠道</w:t>
      </w:r>
      <w:r>
        <w:rPr>
          <w:rFonts w:hint="eastAsia" w:asciiTheme="minorEastAsia" w:hAnsiTheme="minorEastAsia"/>
          <w:bCs/>
          <w:color w:val="auto"/>
          <w:sz w:val="18"/>
          <w:szCs w:val="18"/>
        </w:rPr>
        <w:t>申购。不同销售机构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渠道，申购确认时效可能存在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43"/>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投资者通过</w:t>
      </w:r>
      <w:r>
        <w:rPr>
          <w:rFonts w:hint="eastAsia" w:asciiTheme="minorEastAsia" w:hAnsiTheme="minorEastAsia"/>
          <w:bCs/>
          <w:color w:val="auto"/>
          <w:sz w:val="18"/>
          <w:szCs w:val="18"/>
        </w:rPr>
        <w:t>销售机构线下</w:t>
      </w:r>
      <w:r>
        <w:rPr>
          <w:rFonts w:asciiTheme="minorEastAsia" w:hAnsiTheme="minorEastAsia"/>
          <w:bCs/>
          <w:color w:val="auto"/>
          <w:sz w:val="18"/>
          <w:szCs w:val="18"/>
        </w:rPr>
        <w:t>渠道申购</w:t>
      </w:r>
      <w:r>
        <w:rPr>
          <w:rFonts w:hint="eastAsia" w:asciiTheme="minorEastAsia" w:hAnsiTheme="minorEastAsia"/>
          <w:bCs/>
          <w:color w:val="auto"/>
          <w:sz w:val="18"/>
          <w:szCs w:val="18"/>
        </w:rPr>
        <w:t>的，应签署有关理财产品销售文件。</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投资者通过销售机构线上渠道申购的，应根据销售机构线上渠道的具体要求执行。</w:t>
      </w:r>
    </w:p>
    <w:p>
      <w:pPr>
        <w:pStyle w:val="43"/>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申购的确认</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本产品申购确认详见《产品说明书》“第二条 理财产品基本情况”。</w:t>
      </w:r>
    </w:p>
    <w:p>
      <w:pPr>
        <w:pStyle w:val="43"/>
        <w:spacing w:line="360" w:lineRule="auto"/>
        <w:ind w:firstLine="360" w:firstLineChars="200"/>
        <w:rPr>
          <w:rFonts w:asciiTheme="majorEastAsia" w:hAnsiTheme="majorEastAsia" w:eastAsiaTheme="majorEastAsia"/>
          <w:bCs/>
          <w:sz w:val="18"/>
          <w:szCs w:val="18"/>
        </w:rPr>
      </w:pPr>
      <w:r>
        <w:rPr>
          <w:rFonts w:hint="eastAsia" w:asciiTheme="minorEastAsia" w:hAnsiTheme="minorEastAsia"/>
          <w:bCs/>
          <w:color w:val="auto"/>
          <w:sz w:val="18"/>
          <w:szCs w:val="18"/>
        </w:rPr>
        <w:t>投资者</w:t>
      </w:r>
      <w:r>
        <w:rPr>
          <w:rFonts w:hint="eastAsia" w:asciiTheme="majorEastAsia" w:hAnsiTheme="majorEastAsia" w:eastAsiaTheme="majorEastAsia"/>
          <w:color w:val="auto"/>
          <w:sz w:val="18"/>
          <w:szCs w:val="18"/>
        </w:rPr>
        <w:t>提交申购申请并不代表申购成功，产品管理人将在申购确认日确认投资者是否申购成功。申购是否成功以管理人的确认结果为准</w:t>
      </w:r>
      <w:r>
        <w:rPr>
          <w:rFonts w:hint="eastAsia" w:asciiTheme="minorEastAsia" w:hAnsiTheme="minorEastAsia" w:eastAsiaTheme="minorEastAsia"/>
          <w:color w:val="auto"/>
          <w:sz w:val="18"/>
          <w:szCs w:val="18"/>
        </w:rPr>
        <w:t>。</w:t>
      </w:r>
      <w:r>
        <w:rPr>
          <w:rFonts w:hint="eastAsia" w:asciiTheme="minorEastAsia" w:hAnsiTheme="minorEastAsia" w:eastAsiaTheme="minorEastAsia"/>
          <w:bCs/>
          <w:color w:val="auto"/>
          <w:sz w:val="18"/>
          <w:szCs w:val="18"/>
        </w:rPr>
        <w:t>投资者可以在申购确认日系统完成处理后，查询产品份额。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.申购</w:t>
      </w:r>
      <w:r>
        <w:rPr>
          <w:rFonts w:asciiTheme="minorEastAsia" w:hAnsiTheme="minorEastAsia"/>
          <w:b/>
          <w:bCs/>
          <w:sz w:val="18"/>
          <w:szCs w:val="18"/>
        </w:rPr>
        <w:t>的价格</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申购价格为申购日的产品份额净值。</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申购的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本产品申购费率详见</w:t>
      </w:r>
      <w:r>
        <w:rPr>
          <w:rFonts w:hint="eastAsia" w:asciiTheme="minorEastAsia" w:hAnsiTheme="minorEastAsia" w:eastAsiaTheme="minorEastAsia"/>
          <w:sz w:val="18"/>
          <w:szCs w:val="18"/>
        </w:rPr>
        <w:t>《产品说明书》“第二条</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理财产品基本情况”</w:t>
      </w:r>
      <w:r>
        <w:rPr>
          <w:rFonts w:hint="eastAsia"/>
          <w:bCs/>
          <w:sz w:val="18"/>
          <w:szCs w:val="18"/>
        </w:rPr>
        <w:t>。</w:t>
      </w:r>
    </w:p>
    <w:p>
      <w:pPr>
        <w:pStyle w:val="43"/>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sz w:val="18"/>
          <w:szCs w:val="18"/>
        </w:rPr>
        <w:t>申购份额计算</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本产品的申购金额包括申购费用和净申购金额。申购份额的计算公式为：</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净申购金额</w:t>
      </w:r>
      <w:r>
        <w:rPr>
          <w:rFonts w:asciiTheme="minorEastAsia" w:hAnsiTheme="minorEastAsia"/>
          <w:bCs/>
          <w:color w:val="auto"/>
          <w:sz w:val="18"/>
          <w:szCs w:val="18"/>
        </w:rPr>
        <w:t>=申购金额/（1+申购费率）</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申购费用</w:t>
      </w:r>
      <w:r>
        <w:rPr>
          <w:rFonts w:asciiTheme="minorEastAsia" w:hAnsiTheme="minorEastAsia"/>
          <w:bCs/>
          <w:color w:val="auto"/>
          <w:sz w:val="18"/>
          <w:szCs w:val="18"/>
        </w:rPr>
        <w:t>=申购金额－净申购金额</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申购份额</w:t>
      </w:r>
      <w:r>
        <w:rPr>
          <w:rFonts w:asciiTheme="minorEastAsia" w:hAnsiTheme="minorEastAsia"/>
          <w:bCs/>
          <w:color w:val="auto"/>
          <w:sz w:val="18"/>
          <w:szCs w:val="18"/>
        </w:rPr>
        <w:t>=净申购金额/申购日产品份额净值</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2位，由此产生的收益或损失由理财产品承担。</w:t>
      </w:r>
    </w:p>
    <w:p>
      <w:pPr>
        <w:pStyle w:val="43"/>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申购的起点和追加金额</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w:t>
      </w:r>
      <w:r>
        <w:rPr>
          <w:rFonts w:asciiTheme="minorEastAsia" w:hAnsiTheme="minorEastAsia" w:eastAsiaTheme="minorEastAsia"/>
          <w:color w:val="auto"/>
          <w:sz w:val="18"/>
          <w:szCs w:val="18"/>
        </w:rPr>
        <w:t xml:space="preserve"> </w:t>
      </w:r>
      <w:r>
        <w:rPr>
          <w:rFonts w:hint="eastAsia" w:asciiTheme="minorEastAsia" w:hAnsiTheme="minorEastAsia" w:eastAsiaTheme="minorEastAsia"/>
          <w:color w:val="auto"/>
          <w:sz w:val="18"/>
          <w:szCs w:val="18"/>
        </w:rPr>
        <w:t>理财产品基本情况”。</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申购</w:t>
      </w:r>
      <w:r>
        <w:rPr>
          <w:rFonts w:asciiTheme="minorEastAsia" w:hAnsiTheme="minorEastAsia" w:eastAsiaTheme="minorEastAsia"/>
          <w:b/>
          <w:color w:val="auto"/>
          <w:sz w:val="18"/>
          <w:szCs w:val="18"/>
        </w:rPr>
        <w:t>的数量限制</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w:t>
      </w:r>
      <w:r>
        <w:rPr>
          <w:rFonts w:asciiTheme="minorEastAsia" w:hAnsiTheme="minorEastAsia" w:eastAsiaTheme="minorEastAsia"/>
          <w:color w:val="auto"/>
          <w:sz w:val="18"/>
          <w:szCs w:val="18"/>
        </w:rPr>
        <w:t xml:space="preserve"> </w:t>
      </w:r>
      <w:r>
        <w:rPr>
          <w:rFonts w:hint="eastAsia" w:asciiTheme="minorEastAsia" w:hAnsiTheme="minorEastAsia" w:eastAsiaTheme="minorEastAsia"/>
          <w:color w:val="auto"/>
          <w:sz w:val="18"/>
          <w:szCs w:val="18"/>
        </w:rPr>
        <w:t>理财产品基本情况”。</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（二）理财产品的赎回</w:t>
      </w:r>
    </w:p>
    <w:p>
      <w:pPr>
        <w:pStyle w:val="43"/>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赎回的时间</w:t>
      </w:r>
    </w:p>
    <w:p>
      <w:pPr>
        <w:pStyle w:val="70"/>
        <w:ind w:firstLine="360"/>
      </w:pPr>
      <w:r>
        <w:rPr>
          <w:rFonts w:hint="eastAsia" w:ascii="宋体" w:hAnsi="宋体"/>
          <w:sz w:val="18"/>
          <w:szCs w:val="18"/>
        </w:rPr>
        <w:t>本产品</w:t>
      </w:r>
      <w:r>
        <w:rPr>
          <w:rFonts w:hint="eastAsia" w:asciiTheme="majorEastAsia" w:hAnsiTheme="majorEastAsia" w:eastAsiaTheme="majorEastAsia"/>
          <w:bCs/>
          <w:sz w:val="18"/>
          <w:szCs w:val="18"/>
        </w:rPr>
        <w:t>具体赎回时间以</w:t>
      </w:r>
      <w:r>
        <w:rPr>
          <w:rFonts w:hint="eastAsia" w:asciiTheme="minorEastAsia" w:hAnsiTheme="minorEastAsia" w:eastAsiaTheme="minorEastAsia"/>
          <w:sz w:val="18"/>
          <w:szCs w:val="18"/>
        </w:rPr>
        <w:t>《产品说明书》“第二条</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理财产品基本情况”</w:t>
      </w:r>
      <w:r>
        <w:rPr>
          <w:rFonts w:hint="eastAsia" w:asciiTheme="majorEastAsia" w:hAnsiTheme="majorEastAsia" w:eastAsiaTheme="majorEastAsia"/>
          <w:bCs/>
          <w:sz w:val="18"/>
          <w:szCs w:val="18"/>
        </w:rPr>
        <w:t>为准。</w:t>
      </w:r>
    </w:p>
    <w:p>
      <w:pPr>
        <w:pStyle w:val="43"/>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2.赎回的方式</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投资者可通过</w:t>
      </w:r>
      <w:r>
        <w:rPr>
          <w:rFonts w:hint="eastAsia" w:asciiTheme="majorEastAsia" w:hAnsiTheme="majorEastAsia" w:eastAsiaTheme="majorEastAsia"/>
          <w:color w:val="auto"/>
          <w:sz w:val="18"/>
          <w:szCs w:val="18"/>
        </w:rPr>
        <w:t>销售机构的销售</w:t>
      </w:r>
      <w:r>
        <w:rPr>
          <w:rFonts w:asciiTheme="majorEastAsia" w:hAnsiTheme="majorEastAsia" w:eastAsiaTheme="majorEastAsia"/>
          <w:color w:val="auto"/>
          <w:sz w:val="18"/>
          <w:szCs w:val="18"/>
        </w:rPr>
        <w:t>渠道</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w:t>
      </w:r>
      <w:r>
        <w:rPr>
          <w:rFonts w:hint="eastAsia" w:asciiTheme="minorEastAsia" w:hAnsiTheme="minorEastAsia"/>
          <w:bCs/>
          <w:color w:val="auto"/>
          <w:sz w:val="18"/>
          <w:szCs w:val="18"/>
        </w:rPr>
        <w:t>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渠道，赎回确认时效可能存在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w:t>
      </w:r>
      <w:r>
        <w:rPr>
          <w:rFonts w:asciiTheme="minorEastAsia" w:hAnsiTheme="minorEastAsia" w:eastAsiaTheme="minorEastAsia"/>
          <w:color w:val="auto"/>
          <w:sz w:val="18"/>
          <w:szCs w:val="18"/>
        </w:rPr>
        <w:t>渠道赎回的</w:t>
      </w:r>
      <w:r>
        <w:rPr>
          <w:rFonts w:hint="eastAsia" w:asciiTheme="majorEastAsia" w:hAnsiTheme="majorEastAsia" w:eastAsiaTheme="majorEastAsia"/>
          <w:color w:val="auto"/>
          <w:sz w:val="18"/>
          <w:szCs w:val="18"/>
        </w:rPr>
        <w:t>，应签署</w:t>
      </w:r>
      <w:r>
        <w:rPr>
          <w:rFonts w:hint="eastAsia" w:asciiTheme="minorEastAsia" w:hAnsiTheme="minorEastAsia"/>
          <w:bCs/>
          <w:color w:val="auto"/>
          <w:sz w:val="18"/>
          <w:szCs w:val="18"/>
        </w:rPr>
        <w:t>有关理财产品销售文件</w:t>
      </w:r>
      <w:r>
        <w:rPr>
          <w:rFonts w:hint="eastAsia" w:asciiTheme="majorEastAsia" w:hAnsiTheme="majorEastAsia" w:eastAsiaTheme="majorEastAsia"/>
          <w:color w:val="auto"/>
          <w:sz w:val="18"/>
          <w:szCs w:val="18"/>
        </w:rPr>
        <w:t>。</w:t>
      </w:r>
    </w:p>
    <w:p>
      <w:pPr>
        <w:pStyle w:val="43"/>
        <w:spacing w:line="360" w:lineRule="auto"/>
        <w:ind w:firstLine="360" w:firstLineChars="200"/>
        <w:rPr>
          <w:rFonts w:asciiTheme="minorEastAsia" w:hAnsiTheme="minorEastAsia"/>
          <w:bCs/>
          <w:color w:val="auto"/>
          <w:sz w:val="18"/>
          <w:szCs w:val="18"/>
        </w:rPr>
      </w:pPr>
      <w:r>
        <w:rPr>
          <w:rFonts w:hint="eastAsia" w:asciiTheme="majorEastAsia" w:hAnsiTheme="majorEastAsia" w:eastAsiaTheme="majorEastAsia"/>
          <w:color w:val="auto"/>
          <w:sz w:val="18"/>
          <w:szCs w:val="18"/>
        </w:rPr>
        <w:t>投资者通过销售机构线上渠道</w:t>
      </w:r>
      <w:r>
        <w:rPr>
          <w:rFonts w:hint="eastAsia" w:asciiTheme="minorEastAsia" w:hAnsiTheme="minorEastAsia" w:eastAsiaTheme="minorEastAsia"/>
          <w:color w:val="auto"/>
          <w:sz w:val="18"/>
          <w:szCs w:val="18"/>
        </w:rPr>
        <w:t>赎回的，</w:t>
      </w:r>
      <w:r>
        <w:rPr>
          <w:rFonts w:hint="eastAsia" w:asciiTheme="minorEastAsia" w:hAnsiTheme="minorEastAsia"/>
          <w:bCs/>
          <w:color w:val="auto"/>
          <w:sz w:val="18"/>
          <w:szCs w:val="18"/>
        </w:rPr>
        <w:t>应根据销售机构线上渠道的具体要求执行。</w:t>
      </w:r>
    </w:p>
    <w:p>
      <w:pPr>
        <w:pStyle w:val="43"/>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赎回的确认</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本产品赎回确认详见《产品说明书》“第二条 理财产品基本情况”。</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投资者</w:t>
      </w:r>
      <w:r>
        <w:rPr>
          <w:rFonts w:hint="eastAsia" w:asciiTheme="majorEastAsia" w:hAnsiTheme="majorEastAsia" w:eastAsiaTheme="majorEastAsia"/>
          <w:color w:val="auto"/>
          <w:sz w:val="18"/>
          <w:szCs w:val="18"/>
        </w:rPr>
        <w:t>提交赎回申请并不代表赎回成功，产品管理人将在赎回确认日确认投资者是否赎回成功。赎回是否成功以管理人的确认结果为准</w:t>
      </w:r>
      <w:r>
        <w:rPr>
          <w:rFonts w:hint="eastAsia" w:asciiTheme="minorEastAsia" w:hAnsiTheme="minorEastAsia" w:eastAsiaTheme="minorEastAsia"/>
          <w:color w:val="auto"/>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.赎回</w:t>
      </w:r>
      <w:r>
        <w:rPr>
          <w:rFonts w:asciiTheme="minorEastAsia" w:hAnsiTheme="minorEastAsia"/>
          <w:b/>
          <w:bCs/>
          <w:sz w:val="18"/>
          <w:szCs w:val="18"/>
        </w:rPr>
        <w:t>的价格</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赎回</w:t>
      </w:r>
      <w:r>
        <w:rPr>
          <w:rFonts w:asciiTheme="majorEastAsia" w:hAnsiTheme="majorEastAsia" w:eastAsiaTheme="majorEastAsia"/>
          <w:bCs/>
          <w:color w:val="auto"/>
          <w:sz w:val="18"/>
          <w:szCs w:val="18"/>
        </w:rPr>
        <w:t>价格为赎回日</w:t>
      </w:r>
      <w:r>
        <w:rPr>
          <w:rFonts w:hint="eastAsia" w:asciiTheme="majorEastAsia" w:hAnsiTheme="majorEastAsia" w:eastAsiaTheme="majorEastAsia"/>
          <w:bCs/>
          <w:color w:val="auto"/>
          <w:sz w:val="18"/>
          <w:szCs w:val="18"/>
        </w:rPr>
        <w:t>的</w:t>
      </w:r>
      <w:r>
        <w:rPr>
          <w:rFonts w:asciiTheme="majorEastAsia" w:hAnsiTheme="majorEastAsia" w:eastAsiaTheme="majorEastAsia"/>
          <w:bCs/>
          <w:color w:val="auto"/>
          <w:sz w:val="18"/>
          <w:szCs w:val="18"/>
        </w:rPr>
        <w:t>产品份额净值</w:t>
      </w:r>
      <w:r>
        <w:rPr>
          <w:rFonts w:hint="eastAsia" w:asciiTheme="majorEastAsia" w:hAnsiTheme="majorEastAsia" w:eastAsiaTheme="majorEastAsia"/>
          <w:bCs/>
          <w:color w:val="auto"/>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赎回的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本产品赎回费用详见</w:t>
      </w:r>
      <w:r>
        <w:rPr>
          <w:rFonts w:hint="eastAsia" w:asciiTheme="minorEastAsia" w:hAnsiTheme="minorEastAsia" w:eastAsiaTheme="minorEastAsia"/>
          <w:sz w:val="18"/>
          <w:szCs w:val="18"/>
        </w:rPr>
        <w:t>《产品说明书》“第二条</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理财产品基本情况”</w:t>
      </w:r>
      <w:r>
        <w:rPr>
          <w:rFonts w:hint="eastAsia"/>
          <w:bCs/>
          <w:sz w:val="18"/>
          <w:szCs w:val="18"/>
        </w:rPr>
        <w:t>。</w:t>
      </w:r>
    </w:p>
    <w:p>
      <w:pPr>
        <w:pStyle w:val="43"/>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color w:val="auto"/>
          <w:sz w:val="18"/>
          <w:szCs w:val="18"/>
        </w:rPr>
        <w:t>赎回</w:t>
      </w:r>
      <w:r>
        <w:rPr>
          <w:rFonts w:hint="eastAsia" w:asciiTheme="minorEastAsia" w:hAnsiTheme="minorEastAsia"/>
          <w:b/>
          <w:bCs/>
          <w:sz w:val="18"/>
          <w:szCs w:val="18"/>
        </w:rPr>
        <w:t>金额计算</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本产品赎回</w:t>
      </w:r>
      <w:r>
        <w:rPr>
          <w:rFonts w:asciiTheme="minorEastAsia" w:hAnsiTheme="minorEastAsia"/>
          <w:bCs/>
          <w:color w:val="auto"/>
          <w:sz w:val="18"/>
          <w:szCs w:val="18"/>
        </w:rPr>
        <w:t>金额</w:t>
      </w:r>
      <w:r>
        <w:rPr>
          <w:rFonts w:hint="eastAsia" w:asciiTheme="minorEastAsia" w:hAnsiTheme="minorEastAsia"/>
          <w:bCs/>
          <w:color w:val="auto"/>
          <w:sz w:val="18"/>
          <w:szCs w:val="18"/>
        </w:rPr>
        <w:t>的计算公式如下：</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赎回总金额</w:t>
      </w:r>
      <w:r>
        <w:rPr>
          <w:rFonts w:asciiTheme="majorEastAsia" w:hAnsiTheme="majorEastAsia" w:eastAsiaTheme="majorEastAsia"/>
          <w:color w:val="auto"/>
          <w:sz w:val="18"/>
          <w:szCs w:val="18"/>
        </w:rPr>
        <w:t>=赎回份额×赎回日该产品份额净值</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赎回费用</w:t>
      </w:r>
      <w:r>
        <w:rPr>
          <w:rFonts w:asciiTheme="majorEastAsia" w:hAnsiTheme="majorEastAsia" w:eastAsiaTheme="majorEastAsia"/>
          <w:color w:val="auto"/>
          <w:sz w:val="18"/>
          <w:szCs w:val="18"/>
        </w:rPr>
        <w:t>=赎回总金额×该产品份额赎回费率</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净赎回金额</w:t>
      </w:r>
      <w:r>
        <w:rPr>
          <w:rFonts w:asciiTheme="majorEastAsia" w:hAnsiTheme="majorEastAsia" w:eastAsiaTheme="majorEastAsia"/>
          <w:color w:val="auto"/>
          <w:sz w:val="18"/>
          <w:szCs w:val="18"/>
        </w:rPr>
        <w:t>=赎回总金额-赎回费用</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上述计算结果均按四舍五入方法，保留到小数点后</w:t>
      </w: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位，由此产生的收益或损失由理财产品承担。</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7.</w:t>
      </w:r>
      <w:r>
        <w:rPr>
          <w:rFonts w:hint="eastAsia" w:asciiTheme="minorEastAsia" w:hAnsiTheme="minorEastAsia"/>
          <w:b/>
          <w:bCs/>
          <w:color w:val="auto"/>
          <w:sz w:val="18"/>
          <w:szCs w:val="18"/>
        </w:rPr>
        <w:t>赎回</w:t>
      </w:r>
      <w:r>
        <w:rPr>
          <w:rFonts w:asciiTheme="minorEastAsia" w:hAnsiTheme="minorEastAsia" w:eastAsiaTheme="minorEastAsia"/>
          <w:b/>
          <w:color w:val="auto"/>
          <w:sz w:val="18"/>
          <w:szCs w:val="18"/>
        </w:rPr>
        <w:t>的数量限制</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w:t>
      </w:r>
      <w:r>
        <w:rPr>
          <w:rFonts w:asciiTheme="minorEastAsia" w:hAnsiTheme="minorEastAsia" w:eastAsiaTheme="minorEastAsia"/>
          <w:color w:val="auto"/>
          <w:sz w:val="18"/>
          <w:szCs w:val="18"/>
        </w:rPr>
        <w:t xml:space="preserve"> </w:t>
      </w:r>
      <w:r>
        <w:rPr>
          <w:rFonts w:hint="eastAsia" w:asciiTheme="minorEastAsia" w:hAnsiTheme="minorEastAsia" w:eastAsiaTheme="minorEastAsia"/>
          <w:color w:val="auto"/>
          <w:sz w:val="18"/>
          <w:szCs w:val="18"/>
        </w:rPr>
        <w:t>理财产品基本情况”。</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（三）</w:t>
      </w:r>
      <w:r>
        <w:rPr>
          <w:rFonts w:hint="eastAsia" w:asciiTheme="majorEastAsia" w:hAnsiTheme="majorEastAsia" w:eastAsiaTheme="majorEastAsia"/>
          <w:b/>
          <w:color w:val="auto"/>
          <w:sz w:val="18"/>
          <w:szCs w:val="18"/>
        </w:rPr>
        <w:t>申购与赎回的原则</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金额申购、份额赎回</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原则，即申购以金额申请，赎回以份额申请。</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asciiTheme="majorEastAsia" w:hAnsiTheme="majorEastAsia" w:eastAsiaTheme="majorEastAsia"/>
          <w:bCs/>
          <w:color w:val="auto"/>
          <w:sz w:val="18"/>
          <w:szCs w:val="18"/>
        </w:rPr>
        <w:t>申购和赎回采用“</w:t>
      </w:r>
      <w:r>
        <w:rPr>
          <w:rFonts w:hint="eastAsia" w:asciiTheme="majorEastAsia" w:hAnsiTheme="majorEastAsia" w:eastAsiaTheme="majorEastAsia"/>
          <w:bCs/>
          <w:color w:val="auto"/>
          <w:sz w:val="18"/>
          <w:szCs w:val="18"/>
        </w:rPr>
        <w:t>未知价</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原则，即本产品申购申请和赎回申请提交时，适用的产品份额净值都是未知的。</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3.申购、</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申请可以在对应申购</w:t>
      </w:r>
      <w:r>
        <w:rPr>
          <w:rFonts w:hint="eastAsia" w:asciiTheme="majorEastAsia" w:hAnsiTheme="majorEastAsia" w:eastAsiaTheme="majorEastAsia"/>
          <w:color w:val="auto"/>
          <w:sz w:val="18"/>
          <w:szCs w:val="18"/>
        </w:rPr>
        <w:t>日、</w:t>
      </w:r>
      <w:r>
        <w:rPr>
          <w:rFonts w:asciiTheme="majorEastAsia" w:hAnsiTheme="majorEastAsia" w:eastAsiaTheme="majorEastAsia"/>
          <w:color w:val="auto"/>
          <w:sz w:val="18"/>
          <w:szCs w:val="18"/>
        </w:rPr>
        <w:t>赎回</w:t>
      </w:r>
      <w:r>
        <w:rPr>
          <w:rFonts w:hint="eastAsia" w:asciiTheme="majorEastAsia" w:hAnsiTheme="majorEastAsia" w:eastAsiaTheme="majorEastAsia"/>
          <w:color w:val="auto"/>
          <w:sz w:val="18"/>
          <w:szCs w:val="18"/>
        </w:rPr>
        <w:t>日交易时间截止</w:t>
      </w:r>
      <w:r>
        <w:rPr>
          <w:rFonts w:asciiTheme="majorEastAsia" w:hAnsiTheme="majorEastAsia" w:eastAsiaTheme="majorEastAsia"/>
          <w:color w:val="auto"/>
          <w:sz w:val="18"/>
          <w:szCs w:val="18"/>
        </w:rPr>
        <w:t>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赎回遵循“先进先出”原则，即按照投资者认购、申购的先后次序进行顺序赎回。</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（四）拒绝或暂停申购的情形</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w:t>
      </w:r>
      <w:r>
        <w:rPr>
          <w:rFonts w:asciiTheme="majorEastAsia" w:hAnsiTheme="majorEastAsia" w:eastAsiaTheme="majorEastAsia"/>
          <w:color w:val="auto"/>
          <w:sz w:val="18"/>
          <w:szCs w:val="18"/>
        </w:rPr>
        <w:t>申购申请：</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.发生暂停理财资产估值情况时，产品管理人可暂停接受投资者的申购申请。</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.本产品出现当日净收益小于零的情形，为保护持有人的权益，产品管理人可暂停本产品的申购。</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.产品管理人认为接受某笔或某些申购申请可能会影响或损害现有理财份额持有人权益时。</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.理财产品规模过大，产品管理人无法找到合适的投资品种，或其他可能对理财业绩产生负面影响，从而损害现有理财份额持有人权益的情形。</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7</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8</w:t>
      </w:r>
      <w:r>
        <w:rPr>
          <w:rFonts w:hint="eastAsia" w:asciiTheme="majorEastAsia" w:hAnsiTheme="majorEastAsia" w:eastAsiaTheme="majorEastAsia"/>
          <w:color w:val="auto"/>
          <w:sz w:val="18"/>
          <w:szCs w:val="18"/>
        </w:rPr>
        <w:t>.法律法规规定或监管机构认定的其他情形。</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如果投资者的申购申请被拒绝，被拒绝的申购款项将退还给投资者。在暂停申购的情况消除时，产品管理人应及时恢复申购业务的办理。</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（五）暂停赎回或延缓支付赎回款项的情形</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发生下列情形时，产品管理人可暂停接受投资者的赎回申请或延缓支付赎回款项：</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.因不可抗力导致产品管理人不能支付赎回款项。</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.发生暂停理财资产估值情况时，产品管理人可暂停接受投资者的赎回申请或延缓支付赎回款项。</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w:t>
      </w:r>
      <w:r>
        <w:rPr>
          <w:rFonts w:asciiTheme="majorEastAsia" w:hAnsiTheme="majorEastAsia" w:eastAsiaTheme="majorEastAsia"/>
          <w:color w:val="auto"/>
          <w:sz w:val="18"/>
          <w:szCs w:val="18"/>
        </w:rPr>
        <w:t>证券交易所或银行间市场出现异常市场情况，管理人无法</w:t>
      </w:r>
      <w:r>
        <w:rPr>
          <w:rFonts w:hint="eastAsia" w:asciiTheme="majorEastAsia" w:hAnsiTheme="majorEastAsia" w:eastAsiaTheme="majorEastAsia"/>
          <w:color w:val="auto"/>
          <w:sz w:val="18"/>
          <w:szCs w:val="18"/>
        </w:rPr>
        <w:t>开展产品的</w:t>
      </w:r>
      <w:r>
        <w:rPr>
          <w:rFonts w:asciiTheme="majorEastAsia" w:hAnsiTheme="majorEastAsia" w:eastAsiaTheme="majorEastAsia"/>
          <w:color w:val="auto"/>
          <w:sz w:val="18"/>
          <w:szCs w:val="18"/>
        </w:rPr>
        <w:t>流动性</w:t>
      </w:r>
      <w:r>
        <w:rPr>
          <w:rFonts w:hint="eastAsia" w:asciiTheme="majorEastAsia" w:hAnsiTheme="majorEastAsia" w:eastAsiaTheme="majorEastAsia"/>
          <w:color w:val="auto"/>
          <w:sz w:val="18"/>
          <w:szCs w:val="18"/>
        </w:rPr>
        <w:t>管理</w:t>
      </w:r>
      <w:r>
        <w:rPr>
          <w:rFonts w:asciiTheme="majorEastAsia" w:hAnsiTheme="majorEastAsia" w:eastAsiaTheme="majorEastAsia"/>
          <w:color w:val="auto"/>
          <w:sz w:val="18"/>
          <w:szCs w:val="18"/>
        </w:rPr>
        <w:t>。</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.本产品出现当日净收益小于零的情形，为保护持有人的权益，产品管理人可暂停本产品的赎回。</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.发生单个投资者在赎回日申请赎回的理财产品份额超过限额的。</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7.发生巨额赎回。</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8.产品管理人和产品托管人的技术保障等异常情况导致理财销售系统或会计系统无法正常运行。</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9.证券交易所或银行间市场数据传输延迟、通讯系统故障、银行系统故障或其他非产品管理人及产品托管人所能控制的因素影响了产品运作流程。</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10.法律法规规定或监管机构认定的其他情形。</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bCs/>
          <w:sz w:val="18"/>
          <w:szCs w:val="18"/>
        </w:rPr>
        <w:t>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w:t>
      </w:r>
      <w:r>
        <w:rPr>
          <w:rFonts w:hint="eastAsia" w:asciiTheme="majorEastAsia" w:hAnsiTheme="majorEastAsia" w:eastAsiaTheme="majorEastAsia"/>
          <w:color w:val="auto"/>
          <w:sz w:val="18"/>
          <w:szCs w:val="18"/>
        </w:rPr>
        <w:t>在暂停赎回或延缓支付赎回款项的情况消除时，产品管理人应及时恢复赎回或支付业务赎回款项的办理。</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（六）巨额赎回的情形及</w:t>
      </w:r>
      <w:r>
        <w:rPr>
          <w:rFonts w:asciiTheme="majorEastAsia" w:hAnsiTheme="majorEastAsia" w:eastAsiaTheme="majorEastAsia"/>
          <w:b/>
          <w:color w:val="auto"/>
          <w:sz w:val="18"/>
          <w:szCs w:val="18"/>
        </w:rPr>
        <w:t>处理方式</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巨额赎回的认定</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巨额赎回的处理方式</w:t>
      </w:r>
    </w:p>
    <w:p>
      <w:pPr>
        <w:widowControl/>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出现巨额赎回时，产品管理人有权决定：（1）</w:t>
      </w:r>
      <w:r>
        <w:rPr>
          <w:rFonts w:asciiTheme="majorEastAsia" w:hAnsiTheme="majorEastAsia" w:eastAsiaTheme="majorEastAsia"/>
          <w:bCs/>
          <w:sz w:val="18"/>
          <w:szCs w:val="18"/>
        </w:rPr>
        <w:t>不接受</w:t>
      </w:r>
      <w:r>
        <w:rPr>
          <w:rFonts w:hint="eastAsia" w:asciiTheme="majorEastAsia" w:hAnsiTheme="majorEastAsia" w:eastAsiaTheme="majorEastAsia"/>
          <w:bCs/>
          <w:sz w:val="18"/>
          <w:szCs w:val="18"/>
        </w:rPr>
        <w:t>超出部分的净赎回申请，但投资者可于下一开放日重新进行赎回申请；（</w:t>
      </w:r>
      <w:r>
        <w:rPr>
          <w:rFonts w:asciiTheme="majorEastAsia" w:hAnsiTheme="majorEastAsia" w:eastAsiaTheme="majorEastAsia"/>
          <w:bCs/>
          <w:sz w:val="18"/>
          <w:szCs w:val="18"/>
        </w:rPr>
        <w:t>2）延缓支付赎回款项</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如产品管理人认为有必要，</w:t>
      </w:r>
      <w:r>
        <w:rPr>
          <w:rFonts w:hint="eastAsia" w:asciiTheme="majorEastAsia" w:hAnsiTheme="majorEastAsia" w:eastAsiaTheme="majorEastAsia"/>
          <w:bCs/>
          <w:sz w:val="18"/>
          <w:szCs w:val="18"/>
        </w:rPr>
        <w:t>针对</w:t>
      </w:r>
      <w:r>
        <w:rPr>
          <w:rFonts w:asciiTheme="majorEastAsia" w:hAnsiTheme="majorEastAsia" w:eastAsiaTheme="majorEastAsia"/>
          <w:bCs/>
          <w:sz w:val="18"/>
          <w:szCs w:val="18"/>
        </w:rPr>
        <w:t>已经</w:t>
      </w:r>
      <w:r>
        <w:rPr>
          <w:rFonts w:hint="eastAsia" w:asciiTheme="majorEastAsia" w:hAnsiTheme="majorEastAsia" w:eastAsiaTheme="majorEastAsia"/>
          <w:bCs/>
          <w:sz w:val="18"/>
          <w:szCs w:val="18"/>
        </w:rPr>
        <w:t>确认</w:t>
      </w:r>
      <w:r>
        <w:rPr>
          <w:rFonts w:asciiTheme="majorEastAsia" w:hAnsiTheme="majorEastAsia" w:eastAsiaTheme="majorEastAsia"/>
          <w:bCs/>
          <w:sz w:val="18"/>
          <w:szCs w:val="18"/>
        </w:rPr>
        <w:t>的赎回申请</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可以延缓支付赎回款项。延缓支付赎回款项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。（3）法律法规规定或监管机构规定的其他措施。</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巨额赎回的公告</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在发生巨额赎回产品管理人暂停接受投资者赎回申请时，产品管理人将依约定发布相关公告信息。</w:t>
      </w:r>
    </w:p>
    <w:p>
      <w:pPr>
        <w:pStyle w:val="43"/>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（七）日期遇非工作日的调整</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申购日、申购确认日、赎回日以及赎回确认日等）如遇非工作日则产品管理人可做相应调整。产品管理人对上述日期保留变更的权利，调整后的日期以产品管理人发布的公告中所载明的日期为准。</w:t>
      </w:r>
    </w:p>
    <w:p>
      <w:pPr>
        <w:pStyle w:val="43"/>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（八）投资者持有理财份额的限额和理财产品总规模限额</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kern w:val="0"/>
          <w:sz w:val="18"/>
          <w:szCs w:val="18"/>
        </w:rPr>
      </w:pPr>
      <w:r>
        <w:rPr>
          <w:rFonts w:asciiTheme="minorEastAsia" w:hAnsiTheme="minorEastAsia"/>
          <w:bCs/>
          <w:sz w:val="18"/>
          <w:szCs w:val="18"/>
        </w:rPr>
        <w:br w:type="page"/>
      </w:r>
    </w:p>
    <w:bookmarkEnd w:id="82"/>
    <w:p>
      <w:pPr>
        <w:pStyle w:val="2"/>
        <w:spacing w:before="0" w:after="0" w:line="360" w:lineRule="auto"/>
        <w:jc w:val="center"/>
        <w:rPr>
          <w:rFonts w:ascii="Times New Roman"/>
          <w:sz w:val="30"/>
        </w:rPr>
      </w:pPr>
      <w:bookmarkStart w:id="88" w:name="_Toc16265"/>
      <w:bookmarkStart w:id="89" w:name="_Toc15203"/>
      <w:bookmarkStart w:id="90" w:name="_Toc27189"/>
      <w:bookmarkStart w:id="91" w:name="_Toc3266"/>
      <w:bookmarkStart w:id="92" w:name="_Toc6714"/>
      <w:bookmarkStart w:id="93" w:name="_Toc7151"/>
      <w:bookmarkStart w:id="94" w:name="_Toc79154668"/>
      <w:bookmarkStart w:id="95" w:name="_Toc90742321"/>
      <w:bookmarkStart w:id="96" w:name="_Toc27226"/>
      <w:bookmarkStart w:id="97" w:name="_Toc29948"/>
      <w:bookmarkStart w:id="98" w:name="_Toc13469"/>
      <w:bookmarkStart w:id="99" w:name="_Toc90742688"/>
      <w:bookmarkStart w:id="100" w:name="_Toc22074"/>
      <w:bookmarkStart w:id="101" w:name="_Toc92377134"/>
      <w:bookmarkStart w:id="102" w:name="_Toc90742390"/>
      <w:bookmarkStart w:id="103" w:name="_Toc74065741"/>
      <w:bookmarkStart w:id="104" w:name="_Toc29784"/>
      <w:r>
        <w:rPr>
          <w:rFonts w:ascii="Times New Roman"/>
          <w:sz w:val="30"/>
        </w:rPr>
        <w:t>第</w:t>
      </w:r>
      <w:r>
        <w:rPr>
          <w:rFonts w:hint="eastAsia" w:ascii="Times New Roman"/>
          <w:sz w:val="30"/>
        </w:rPr>
        <w:t>五条</w:t>
      </w:r>
      <w:r>
        <w:rPr>
          <w:rFonts w:ascii="Times New Roman"/>
          <w:sz w:val="30"/>
        </w:rPr>
        <w:t xml:space="preserve">  </w:t>
      </w:r>
      <w:r>
        <w:rPr>
          <w:rFonts w:hint="eastAsia" w:ascii="Times New Roman"/>
          <w:sz w:val="30"/>
        </w:rPr>
        <w:t>理财产品的投资</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在严格控制组合风险的前提下，通过不断优化组合，力争实现超越业绩比较基准的收益。</w:t>
      </w:r>
    </w:p>
    <w:p>
      <w:pPr>
        <w:pStyle w:val="43"/>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w:t>
      </w:r>
      <w:r>
        <w:rPr>
          <w:rFonts w:asciiTheme="majorEastAsia" w:hAnsiTheme="majorEastAsia" w:eastAsiaTheme="majorEastAsia"/>
          <w:bCs/>
          <w:sz w:val="18"/>
          <w:szCs w:val="18"/>
        </w:rPr>
        <w:t>主要投资范围包括但不限于</w:t>
      </w:r>
      <w:r>
        <w:rPr>
          <w:rFonts w:hint="eastAsia" w:asciiTheme="majorEastAsia" w:hAnsiTheme="majorEastAsia" w:eastAsiaTheme="majorEastAsia"/>
          <w:bCs/>
          <w:sz w:val="18"/>
          <w:szCs w:val="18"/>
        </w:rPr>
        <w:t>（实际投资范围可根据法律法规及监管规定进行调整）</w:t>
      </w:r>
      <w:r>
        <w:rPr>
          <w:rFonts w:asciiTheme="majorEastAsia" w:hAnsiTheme="majorEastAsia" w:eastAsiaTheme="majorEastAsia"/>
          <w:bCs/>
          <w:sz w:val="18"/>
          <w:szCs w:val="18"/>
        </w:rPr>
        <w:t>：</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（3）国债期货、利率互换、债券借贷。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本产品投资于固定收益类资产的比例不低于产品总资产的</w:t>
      </w:r>
      <w:r>
        <w:rPr>
          <w:rFonts w:asciiTheme="majorEastAsia" w:hAnsiTheme="majorEastAsia" w:eastAsiaTheme="majorEastAsia"/>
          <w:bCs/>
          <w:sz w:val="18"/>
          <w:szCs w:val="18"/>
        </w:rPr>
        <w:t>80%</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.如果法律法规对本协议约定投资组合比例限制进行变更的，以变更后的规定为准。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使产品的投资组合比例符合本协议的有关约定，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应当符合本协议</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产品管理人应当根据市场情况调整投资范围、投资资产种类或投资比例，并进行相应公告。超出前述约定投资比例的，除高风险类型的理财产品超出比例范围投资较低风险资产外，</w:t>
      </w:r>
      <w:r>
        <w:rPr>
          <w:rFonts w:ascii="黑体" w:hAnsi="黑体" w:eastAsia="黑体"/>
          <w:bCs/>
          <w:sz w:val="18"/>
          <w:szCs w:val="18"/>
        </w:rPr>
        <w:t>投资者有权不接受变更</w:t>
      </w:r>
      <w:r>
        <w:rPr>
          <w:rFonts w:hint="eastAsia" w:ascii="黑体" w:hAnsi="黑体" w:eastAsia="黑体"/>
          <w:bCs/>
          <w:sz w:val="18"/>
          <w:szCs w:val="18"/>
        </w:rPr>
        <w:t>，并通过赎回退出本产品。</w:t>
      </w:r>
    </w:p>
    <w:p>
      <w:pPr>
        <w:pStyle w:val="43"/>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w:t>
      </w:r>
      <w:r>
        <w:rPr>
          <w:rFonts w:hint="eastAsia" w:ascii="黑体" w:hAnsi="黑体" w:eastAsia="黑体"/>
          <w:bCs/>
          <w:sz w:val="18"/>
          <w:szCs w:val="18"/>
        </w:rPr>
        <w:t>协议</w:t>
      </w:r>
      <w:r>
        <w:rPr>
          <w:rFonts w:ascii="黑体" w:hAnsi="黑体" w:eastAsia="黑体"/>
          <w:bCs/>
          <w:sz w:val="18"/>
          <w:szCs w:val="18"/>
        </w:rPr>
        <w:t>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43"/>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每只公募理财产品投资单只证券或者单只公募证券投资基金的市值不得超过该理财产品净资产的10%。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（3）全部理财产品持有单一上市公司发行的股票，不得超过该上市公司可流通股票的30%。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（4）全部开放式公募理财产品投资单一上市公司发行的股票不得超过该上市公司可流通股票的15%。</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5）每只开放式公募理财产品和每个交易日开放的私募理财产品直接投资于流动性受限资产的市值在开放日不得超过该产品资产净值的15%。每只定期开放式私募理财产品直接投资于流动性受限资产的市值在开放日不得超过该产品资产净值的20%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面向单一投资者发行的私募理财产品可不受前款比例限制。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因证券市场波动、上市公司股票停牌、理财产品规模变动等因素导致理财产品不符合本款规定比例限制的，该理财产品不得主动新增投资流动性受限资产。</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6）开放式公募理财产品定期开放周期不低于90天的，在开放日及开放日前7个工作日内持有不低于该产品资产净值5%的现金或者到期日在一年以内的国债、中央银行票据和政策性金融债券。其他开放式公募理财产品均应当持续符合前款比例要求。</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 xml:space="preserve">（7）每只开放式理财产品每日确认且需当日支付的净赎回申请不超过前一工作日产品7个工作日可变现资产的可变现价值，银保监会另有规定的除外。在开放日前一工作日内，每只开放式理财产品7个工作日可变现资产的可变现价值应当不低于该产品资产净值的10%。 </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面向单一投资者发行的私募理财产品可不受本条规定限制。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（8）本产品因为流动性需要可开展存单质押、债券正回购等融资业务，本产品总资产不超过净资产的140%。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（9）本产品投资资产组合久期不超过【5】年。</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（10）本产品投资的各类债券主体（发行人或担保人）或债项评级达到AA级（含）以上。</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w:t>
      </w:r>
      <w:r>
        <w:rPr>
          <w:rFonts w:asciiTheme="majorEastAsia" w:hAnsiTheme="majorEastAsia" w:eastAsiaTheme="majorEastAsia"/>
          <w:bCs/>
          <w:sz w:val="18"/>
          <w:szCs w:val="18"/>
        </w:rPr>
        <w:t>10个交易日内调整至符合要求，监管机构规定的特殊情形除外。本</w:t>
      </w:r>
      <w:r>
        <w:rPr>
          <w:rFonts w:hint="eastAsia" w:asciiTheme="majorEastAsia" w:hAnsiTheme="majorEastAsia" w:eastAsiaTheme="majorEastAsia"/>
          <w:bCs/>
          <w:kern w:val="0"/>
          <w:sz w:val="18"/>
          <w:szCs w:val="18"/>
        </w:rPr>
        <w:t>产品投资于国债、地方政府债券、中央银行票据、政府机构债券、政策性金融债券以及完全按照有关指数的构成比例进行投资的除外。</w:t>
      </w:r>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w:t>
      </w:r>
      <w:r>
        <w:rPr>
          <w:rFonts w:hint="eastAsia" w:asciiTheme="majorEastAsia" w:hAnsiTheme="majorEastAsia" w:eastAsiaTheme="majorEastAsia"/>
          <w:bCs/>
          <w:sz w:val="18"/>
          <w:szCs w:val="18"/>
        </w:rPr>
        <w:t>协议</w:t>
      </w:r>
      <w:r>
        <w:rPr>
          <w:rFonts w:asciiTheme="majorEastAsia" w:hAnsiTheme="majorEastAsia" w:eastAsiaTheme="majorEastAsia"/>
          <w:bCs/>
          <w:sz w:val="18"/>
          <w:szCs w:val="18"/>
        </w:rPr>
        <w:t>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本产品根据对短期利率变动的预测，采用投资组合平均剩余期限控制下的主动性投资策略，利用定性分析和定量分析方法，通过对短期金融工具的积极投资，在控制风险和保证流动性的基础上，力争获得稳定的当期收益。】。</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 xml:space="preserve">（五）业绩比较基准 </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w:t>
      </w:r>
      <w:r>
        <w:rPr>
          <w:rFonts w:hint="eastAsia" w:asciiTheme="majorEastAsia" w:hAnsiTheme="majorEastAsia" w:eastAsiaTheme="majorEastAsia"/>
          <w:bCs/>
          <w:sz w:val="18"/>
          <w:szCs w:val="18"/>
        </w:rPr>
        <w:t xml:space="preserve"> 产品管理人</w:t>
      </w:r>
      <w:r>
        <w:rPr>
          <w:rFonts w:hint="eastAsia" w:asciiTheme="majorEastAsia" w:hAnsiTheme="majorEastAsia" w:eastAsiaTheme="majorEastAsia"/>
          <w:sz w:val="18"/>
          <w:szCs w:val="18"/>
        </w:rPr>
        <w:t>设置</w:t>
      </w:r>
      <w:r>
        <w:rPr>
          <w:rFonts w:asciiTheme="majorEastAsia" w:hAnsiTheme="majorEastAsia" w:eastAsiaTheme="majorEastAsia"/>
          <w:sz w:val="18"/>
          <w:szCs w:val="18"/>
        </w:rPr>
        <w:t>业绩比较基准</w:t>
      </w:r>
      <w:r>
        <w:rPr>
          <w:rFonts w:hint="eastAsia" w:asciiTheme="majorEastAsia" w:hAnsiTheme="majorEastAsia" w:eastAsiaTheme="majorEastAsia"/>
          <w:sz w:val="18"/>
          <w:szCs w:val="18"/>
        </w:rPr>
        <w:t>。</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1.产品管理人设置业绩比较基准</w:t>
      </w:r>
      <w:r>
        <w:rPr>
          <w:rFonts w:asciiTheme="majorEastAsia" w:hAnsiTheme="majorEastAsia" w:eastAsiaTheme="majorEastAsia"/>
          <w:sz w:val="18"/>
          <w:szCs w:val="18"/>
        </w:rPr>
        <w:t>并</w:t>
      </w:r>
      <w:r>
        <w:rPr>
          <w:rFonts w:hint="eastAsia" w:asciiTheme="majorEastAsia" w:hAnsiTheme="majorEastAsia" w:eastAsiaTheme="majorEastAsia"/>
          <w:sz w:val="18"/>
          <w:szCs w:val="18"/>
        </w:rPr>
        <w:t>进行</w:t>
      </w:r>
      <w:r>
        <w:rPr>
          <w:rFonts w:asciiTheme="majorEastAsia" w:hAnsiTheme="majorEastAsia" w:eastAsiaTheme="majorEastAsia"/>
          <w:sz w:val="18"/>
          <w:szCs w:val="18"/>
        </w:rPr>
        <w:t>公告，</w:t>
      </w:r>
      <w:r>
        <w:rPr>
          <w:rFonts w:hint="eastAsia" w:asciiTheme="majorEastAsia" w:hAnsiTheme="majorEastAsia" w:eastAsiaTheme="majorEastAsia"/>
          <w:sz w:val="18"/>
          <w:szCs w:val="18"/>
        </w:rPr>
        <w:t>具体以当期《产品说明书》</w:t>
      </w:r>
      <w:r>
        <w:rPr>
          <w:rFonts w:hint="eastAsia" w:asciiTheme="minorEastAsia" w:hAnsiTheme="minorEastAsia" w:eastAsiaTheme="minorEastAsia"/>
          <w:sz w:val="18"/>
          <w:szCs w:val="18"/>
        </w:rPr>
        <w:t xml:space="preserve"> “第二条 理财产品基本情况”</w:t>
      </w:r>
      <w:r>
        <w:rPr>
          <w:rFonts w:hint="eastAsia" w:asciiTheme="majorEastAsia" w:hAnsiTheme="majorEastAsia" w:eastAsiaTheme="majorEastAsia"/>
          <w:sz w:val="18"/>
          <w:szCs w:val="18"/>
        </w:rPr>
        <w:t>为准。</w:t>
      </w:r>
    </w:p>
    <w:p>
      <w:pPr>
        <w:pStyle w:val="20"/>
        <w:shd w:val="clear" w:color="auto" w:fill="FFFFFF"/>
        <w:spacing w:line="360" w:lineRule="auto"/>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hint="eastAsia" w:ascii="黑体" w:hAnsi="黑体" w:eastAsia="黑体" w:cs="仿宋_GB2312"/>
          <w:bCs/>
          <w:sz w:val="18"/>
          <w:szCs w:val="18"/>
        </w:rPr>
        <w:t>★</w:t>
      </w:r>
      <w:r>
        <w:rPr>
          <w:rFonts w:hint="eastAsia" w:ascii="黑体" w:hAnsi="黑体" w:eastAsia="黑体"/>
          <w:sz w:val="18"/>
          <w:szCs w:val="18"/>
        </w:rPr>
        <w:t>业绩比较基准</w:t>
      </w:r>
      <w:r>
        <w:rPr>
          <w:rFonts w:hint="eastAsia" w:ascii="黑体" w:hAnsi="黑体" w:eastAsia="黑体"/>
          <w:bCs/>
          <w:sz w:val="18"/>
          <w:szCs w:val="18"/>
        </w:rPr>
        <w:t>不代表理财产品未来表现，不等于理财产品实际收益，不作为产品收益的业绩保证，投资须谨慎。</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asciiTheme="majorEastAsia" w:hAnsiTheme="majorEastAsia" w:eastAsiaTheme="majorEastAsia"/>
          <w:sz w:val="18"/>
          <w:szCs w:val="18"/>
        </w:rPr>
        <w:t>3.</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产品管理人不设置业绩比较基准。</w:t>
      </w:r>
    </w:p>
    <w:p>
      <w:pPr>
        <w:autoSpaceDE w:val="0"/>
        <w:autoSpaceDN w:val="0"/>
        <w:adjustRightInd w:val="0"/>
        <w:spacing w:line="360" w:lineRule="auto"/>
        <w:ind w:firstLine="361" w:firstLineChars="200"/>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（六）业绩报酬计提基准</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 产品管理人设置业绩报酬计提基准。</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1.产品管理人设置业绩报酬计提基准并进行公告，具体以当期《产品说明书》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pStyle w:val="20"/>
        <w:shd w:val="clear" w:color="auto" w:fill="FFFFFF"/>
        <w:spacing w:line="360" w:lineRule="auto"/>
        <w:ind w:firstLine="360" w:firstLineChars="200"/>
        <w:rPr>
          <w:rFonts w:ascii="黑体" w:hAnsi="黑体" w:eastAsia="黑体"/>
          <w:sz w:val="18"/>
          <w:szCs w:val="18"/>
        </w:rPr>
      </w:pPr>
      <w:r>
        <w:rPr>
          <w:rFonts w:hint="eastAsia" w:ascii="黑体" w:hAnsi="黑体" w:eastAsia="黑体"/>
          <w:sz w:val="18"/>
          <w:szCs w:val="18"/>
        </w:rPr>
        <w:t>2.★业绩报酬计提基准仅作为管理人收取超额业绩报酬的参照，不代表理财产品未来表现，不等于理财产品实际收益，不作为产品收益的业绩保证，投资须谨慎。</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3.如果今后法律法规发生变化，或者有其他代表性更强、更科学客观的业绩报酬计提基准适用于本产品时，经产品管理人和产品托管人协商一致后，本产品可以变更业绩报酬计提基准并及时公告。</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kern w:val="0"/>
          <w:sz w:val="18"/>
          <w:szCs w:val="18"/>
        </w:rPr>
        <w:t xml:space="preserve"> 产品管理人不设置业绩报酬计提基准。</w:t>
      </w:r>
    </w:p>
    <w:p>
      <w:pPr>
        <w:pStyle w:val="20"/>
        <w:spacing w:line="360" w:lineRule="auto"/>
        <w:ind w:firstLine="360" w:firstLineChars="200"/>
        <w:rPr>
          <w:rFonts w:asciiTheme="majorEastAsia" w:hAnsiTheme="majorEastAsia" w:eastAsiaTheme="majorEastAsia"/>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105" w:name="_Toc79154669"/>
      <w:bookmarkStart w:id="106" w:name="_Toc141703885"/>
      <w:bookmarkStart w:id="107" w:name="_Toc17912"/>
      <w:bookmarkStart w:id="108" w:name="_Toc21988"/>
      <w:bookmarkStart w:id="109" w:name="_Toc18797"/>
      <w:bookmarkStart w:id="110" w:name="_Toc139991735"/>
      <w:bookmarkStart w:id="111" w:name="_Toc1823"/>
      <w:bookmarkStart w:id="112" w:name="_Toc74065742"/>
      <w:bookmarkStart w:id="113" w:name="_Toc7848"/>
      <w:bookmarkStart w:id="114" w:name="_Toc4741"/>
      <w:bookmarkStart w:id="115" w:name="_Toc14893"/>
      <w:bookmarkStart w:id="116" w:name="_Toc18526"/>
      <w:bookmarkStart w:id="117" w:name="_Toc10381"/>
      <w:bookmarkStart w:id="118" w:name="_Toc26986"/>
      <w:bookmarkStart w:id="119" w:name="_Toc92377135"/>
      <w:bookmarkStart w:id="120" w:name="_Toc18329"/>
      <w:r>
        <w:rPr>
          <w:rFonts w:ascii="Times New Roman"/>
          <w:sz w:val="30"/>
        </w:rPr>
        <w:t>第</w:t>
      </w:r>
      <w:r>
        <w:rPr>
          <w:rFonts w:hint="eastAsia" w:ascii="Times New Roman"/>
          <w:sz w:val="30"/>
        </w:rPr>
        <w:t>六条</w:t>
      </w:r>
      <w:r>
        <w:rPr>
          <w:rFonts w:ascii="Times New Roman"/>
          <w:sz w:val="30"/>
        </w:rPr>
        <w:t xml:space="preserve">  </w:t>
      </w:r>
      <w:r>
        <w:rPr>
          <w:rFonts w:hint="eastAsia" w:ascii="Times New Roman"/>
          <w:sz w:val="30"/>
        </w:rPr>
        <w:t>理财产品的资产</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pStyle w:val="43"/>
        <w:spacing w:line="360" w:lineRule="auto"/>
        <w:ind w:firstLine="361" w:firstLineChars="200"/>
        <w:rPr>
          <w:rFonts w:asciiTheme="majorEastAsia" w:hAnsiTheme="majorEastAsia" w:eastAsiaTheme="majorEastAsia"/>
          <w:b/>
          <w:color w:val="auto"/>
          <w:sz w:val="18"/>
          <w:szCs w:val="18"/>
        </w:rPr>
      </w:pPr>
      <w:bookmarkStart w:id="121" w:name="_Hlk490214295"/>
      <w:r>
        <w:rPr>
          <w:rFonts w:hint="eastAsia" w:asciiTheme="majorEastAsia" w:hAnsiTheme="majorEastAsia" w:eastAsiaTheme="majorEastAsia"/>
          <w:b/>
          <w:color w:val="auto"/>
          <w:sz w:val="18"/>
          <w:szCs w:val="18"/>
        </w:rPr>
        <w:t>（一）理财产品的资产的保管和处分</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121"/>
    <w:p>
      <w:pPr>
        <w:pStyle w:val="2"/>
        <w:spacing w:before="0" w:after="0" w:line="360" w:lineRule="auto"/>
        <w:jc w:val="center"/>
        <w:rPr>
          <w:rFonts w:ascii="Times New Roman"/>
          <w:sz w:val="28"/>
          <w:szCs w:val="28"/>
        </w:rPr>
      </w:pPr>
      <w:bookmarkStart w:id="122" w:name="_Toc83391971"/>
      <w:bookmarkStart w:id="123" w:name="_Toc26375"/>
      <w:bookmarkStart w:id="124" w:name="_Toc92377136"/>
      <w:bookmarkStart w:id="125" w:name="_Toc123112234"/>
      <w:bookmarkStart w:id="126" w:name="_Toc4003"/>
      <w:bookmarkStart w:id="127" w:name="_Toc74065743"/>
      <w:bookmarkStart w:id="128" w:name="_Toc48649707"/>
      <w:bookmarkStart w:id="129" w:name="_Toc79392606"/>
      <w:bookmarkStart w:id="130" w:name="_Toc98560352"/>
      <w:bookmarkStart w:id="131" w:name="_Toc7920"/>
      <w:bookmarkStart w:id="132" w:name="_Toc79154670"/>
      <w:bookmarkStart w:id="133" w:name="_Toc610"/>
      <w:bookmarkStart w:id="134" w:name="_Toc1427"/>
      <w:bookmarkStart w:id="135" w:name="_Toc141703886"/>
      <w:bookmarkStart w:id="136" w:name="_Toc20733"/>
      <w:bookmarkStart w:id="137" w:name="_Toc139991736"/>
      <w:bookmarkStart w:id="138" w:name="_Toc123102453"/>
      <w:bookmarkStart w:id="139" w:name="_Toc1270"/>
      <w:bookmarkStart w:id="140" w:name="_Toc123051452"/>
      <w:bookmarkStart w:id="141" w:name="_Toc23822"/>
      <w:bookmarkStart w:id="142" w:name="_Toc23261"/>
      <w:bookmarkStart w:id="143" w:name="_Toc10463"/>
      <w:bookmarkStart w:id="144" w:name="_Toc17244"/>
      <w:r>
        <w:rPr>
          <w:rFonts w:hint="eastAsia" w:ascii="Times New Roman"/>
          <w:sz w:val="28"/>
          <w:szCs w:val="28"/>
        </w:rPr>
        <w:t>第七条</w:t>
      </w:r>
      <w:r>
        <w:rPr>
          <w:rFonts w:ascii="Times New Roman"/>
          <w:sz w:val="28"/>
          <w:szCs w:val="28"/>
        </w:rPr>
        <w:t xml:space="preserve">  </w:t>
      </w:r>
      <w:r>
        <w:rPr>
          <w:rFonts w:hint="eastAsia" w:ascii="Times New Roman"/>
          <w:sz w:val="28"/>
          <w:szCs w:val="28"/>
        </w:rPr>
        <w:t>理财产品项下资产的估值</w:t>
      </w:r>
      <w:bookmarkEnd w:id="122"/>
      <w:bookmarkEnd w:id="123"/>
      <w:bookmarkEnd w:id="124"/>
    </w:p>
    <w:p>
      <w:pPr>
        <w:pStyle w:val="43"/>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（一）估值目的</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理财资产估值的目的是客观、准确地反映理财资产是否保值、增值。</w:t>
      </w:r>
    </w:p>
    <w:p>
      <w:pPr>
        <w:pStyle w:val="43"/>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（二）估值频率</w:t>
      </w:r>
    </w:p>
    <w:p>
      <w:pPr>
        <w:pStyle w:val="20"/>
        <w:spacing w:line="360" w:lineRule="auto"/>
        <w:ind w:firstLine="360" w:firstLineChars="200"/>
        <w:rPr>
          <w:rFonts w:asciiTheme="minorEastAsia" w:hAnsiTheme="minorEastAsia" w:eastAsiaTheme="minorEastAsia"/>
          <w:color w:val="2E3033"/>
          <w:sz w:val="18"/>
          <w:szCs w:val="18"/>
        </w:rPr>
      </w:pPr>
      <w:r>
        <w:rPr>
          <w:rFonts w:hint="eastAsia" w:asciiTheme="minorEastAsia" w:hAnsiTheme="minorEastAsia" w:eastAsiaTheme="minorEastAsia"/>
          <w:sz w:val="18"/>
          <w:szCs w:val="18"/>
        </w:rPr>
        <w:t>本产品存续期间</w:t>
      </w:r>
      <w:r>
        <w:rPr>
          <w:rFonts w:hint="eastAsia" w:cs="Times New Roman" w:asciiTheme="minorEastAsia" w:hAnsiTheme="minorEastAsia" w:eastAsiaTheme="minorEastAsia"/>
          <w:sz w:val="18"/>
          <w:szCs w:val="18"/>
        </w:rPr>
        <w:t>，每个开放日进行一次估值</w:t>
      </w:r>
      <w:r>
        <w:rPr>
          <w:rFonts w:hint="eastAsia" w:asciiTheme="minorEastAsia" w:hAnsiTheme="minorEastAsia" w:eastAsiaTheme="minorEastAsia"/>
          <w:color w:val="2E3033"/>
          <w:sz w:val="18"/>
          <w:szCs w:val="18"/>
        </w:rPr>
        <w:t>。</w:t>
      </w:r>
    </w:p>
    <w:p>
      <w:pPr>
        <w:pStyle w:val="43"/>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（三）估值对象</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本产品所拥有的各类证券、资产管理产品、银行存款、应收款项、其它投资等资产及负债。</w:t>
      </w:r>
    </w:p>
    <w:p>
      <w:pPr>
        <w:pStyle w:val="43"/>
        <w:spacing w:line="360" w:lineRule="auto"/>
        <w:ind w:firstLine="361" w:firstLineChars="200"/>
        <w:rPr>
          <w:rFonts w:asciiTheme="minorEastAsia" w:hAnsiTheme="minorEastAsia" w:eastAsiaTheme="minorEastAsia"/>
          <w:b/>
          <w:sz w:val="18"/>
          <w:szCs w:val="18"/>
        </w:rPr>
      </w:pPr>
      <w:r>
        <w:rPr>
          <w:rFonts w:hint="eastAsia" w:asciiTheme="minorEastAsia" w:hAnsiTheme="minorEastAsia" w:eastAsiaTheme="minorEastAsia"/>
          <w:b/>
          <w:sz w:val="18"/>
          <w:szCs w:val="18"/>
        </w:rPr>
        <w:t>（四）估值方法</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w:t>
      </w:r>
      <w:r>
        <w:rPr>
          <w:rFonts w:hint="eastAsia" w:asciiTheme="minorEastAsia" w:hAnsiTheme="minorEastAsia" w:eastAsiaTheme="minorEastAsia"/>
          <w:b/>
          <w:color w:val="auto"/>
          <w:sz w:val="18"/>
          <w:szCs w:val="18"/>
        </w:rPr>
        <w:t>标准化债权类资产估值</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1）债券类资产以公允价值计量，主要依据为第三方估值机构提供的价格数据。</w:t>
      </w:r>
      <w:r>
        <w:rPr>
          <w:rFonts w:hint="eastAsia" w:asciiTheme="majorEastAsia" w:hAnsiTheme="majorEastAsia" w:eastAsiaTheme="majorEastAsia"/>
          <w:bCs/>
          <w:color w:val="auto"/>
          <w:sz w:val="18"/>
          <w:szCs w:val="18"/>
        </w:rPr>
        <w:t>第三方估值机构包括：中央国债登记结算公司和中证指数有限公司。</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2）在证券交易所上市的债券，如第三方估值机构提供的估值价格与市场收盘价存在差异，且管理人认为收盘价更能体现其公允价值，可与托管人协商一致后采用收盘价进行估值。</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对在交易所上市的资产支持证券和私募债，鉴于其不存在活跃市场，或未来现金流难以确定，导致第三方估值数据和市场收盘价均无法准确反映其公允价值的，可采用估值技术对其进行估值，管理人会对估值模型的有效性进行持续有效评估，并尽可能地予以修正。</w:t>
      </w:r>
      <w:r>
        <w:rPr>
          <w:rFonts w:asciiTheme="majorEastAsia" w:hAnsiTheme="majorEastAsia" w:eastAsiaTheme="majorEastAsia"/>
          <w:bCs/>
          <w:color w:val="auto"/>
          <w:sz w:val="18"/>
          <w:szCs w:val="18"/>
        </w:rPr>
        <w:t xml:space="preserve"> </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(4)</w:t>
      </w:r>
      <w:r>
        <w:rPr>
          <w:rFonts w:hint="eastAsia" w:asciiTheme="majorEastAsia" w:hAnsiTheme="majorEastAsia" w:eastAsiaTheme="majorEastAsia"/>
          <w:bCs/>
          <w:color w:val="auto"/>
          <w:sz w:val="18"/>
          <w:szCs w:val="18"/>
        </w:rPr>
        <w:t>对在银行间市场或交易所市场已发行未上市流通的债券，且第三方估值机构未提供估值数据，采用估值技术确定其公允价值。</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5）同一债券同时在两个或两个以上市场交易的，按债券所处的市场及相应的估值标准，分别进行估值。</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3.非标准化债权类资产</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非标准化债权类资产，是指不满足中国人民银行制定的标准化债权类资产认定标准的债权类资产。可选取第三方估值机构的价格数据或采用估值技术进行估值。</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4.上市公司股票</w:t>
      </w:r>
      <w:r>
        <w:rPr>
          <w:rFonts w:hint="eastAsia" w:asciiTheme="majorEastAsia" w:hAnsiTheme="majorEastAsia" w:eastAsiaTheme="majorEastAsia"/>
          <w:b/>
          <w:bCs/>
          <w:color w:val="auto"/>
          <w:sz w:val="18"/>
          <w:szCs w:val="18"/>
        </w:rPr>
        <w:t>估值</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上市公司股票包括正常流通普通股、流通受限股票、长期停牌股票和新发行未上市股票。具体估值方法如下：</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2）送股、转增股、配股和公开增发新股等发行未上市的股票，按估值日在证券交易所上市的同一股票的收盘价或最近交易日的收盘价确定公允价值。</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3）通过公开、非公开等方式取得且有明确限售期的股票，在限售期内，应以证券交易所上市交易的同一股票的公允价值为基础，引入流动性折扣进行估值。</w:t>
      </w:r>
      <w:r>
        <w:rPr>
          <w:rFonts w:hint="eastAsia" w:asciiTheme="minorEastAsia" w:hAnsiTheme="minorEastAsia" w:eastAsiaTheme="minorEastAsia"/>
          <w:color w:val="auto"/>
          <w:sz w:val="18"/>
          <w:szCs w:val="18"/>
        </w:rPr>
        <w:t>流动性折扣可依据第三方估值机构提供的数据，或采用看跌期权法以及其他合理的估值方法分析确定。</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4）长期停牌股票，</w:t>
      </w:r>
      <w:r>
        <w:rPr>
          <w:rFonts w:hint="eastAsia" w:asciiTheme="minorEastAsia" w:hAnsiTheme="minorEastAsia" w:eastAsiaTheme="minorEastAsia"/>
          <w:color w:val="auto"/>
          <w:sz w:val="18"/>
          <w:szCs w:val="18"/>
        </w:rPr>
        <w:t>根据停牌原因、停牌时间及停牌公司公告等信息，采用估值技术确定公允价值。</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5）</w:t>
      </w:r>
      <w:r>
        <w:rPr>
          <w:rFonts w:hint="eastAsia" w:asciiTheme="minorEastAsia" w:hAnsiTheme="minorEastAsia" w:eastAsiaTheme="minorEastAsia"/>
          <w:color w:val="auto"/>
          <w:sz w:val="18"/>
          <w:szCs w:val="18"/>
        </w:rPr>
        <w:t>新发行未上市股票，如果发行日后未发生影响公允价值计量的重大事件的，应采用发行价作为公允价值的最佳估计，已发生影响公允价值计量重大事件的应采用估值技术确定公允价值。</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5.未上市公司股权</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以公允价值计量，应综合考虑被评估企业实际情况、市场交易情况及其他可获得的信息，采用市场法、收益法、重置成本法等估值技术，结合流动性折扣等因素评估公允价值。</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6.</w:t>
      </w:r>
      <w:r>
        <w:rPr>
          <w:rFonts w:hint="eastAsia" w:asciiTheme="minorEastAsia" w:hAnsiTheme="minorEastAsia" w:eastAsiaTheme="minorEastAsia"/>
          <w:b/>
          <w:color w:val="auto"/>
          <w:sz w:val="18"/>
          <w:szCs w:val="18"/>
        </w:rPr>
        <w:t>优先股</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7.</w:t>
      </w:r>
      <w:r>
        <w:rPr>
          <w:rFonts w:hint="eastAsia" w:asciiTheme="minorEastAsia" w:hAnsiTheme="minorEastAsia" w:eastAsiaTheme="minorEastAsia"/>
          <w:b/>
          <w:color w:val="auto"/>
          <w:sz w:val="18"/>
          <w:szCs w:val="18"/>
        </w:rPr>
        <w:t>证券投资基金估值</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1）非上市基金估值</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1)本产品投资的境内非货币市场基金，按所投资基金估值日的基金份额净值估值；估值日基金净值未公布的，以基金管理人公布的最近一个工作日基金份额净值计算。</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2)本产品投资的境内货币市场基金，按所投资基金前一估值日后至估值日期间（含节假日）的万份收益计提估值日基金收益。</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2）上市基金估值</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1)本产品投资的ETF基金、境内上市定期开放式基金、封闭式基金，按照所投资基金估值日的收盘价估</w:t>
      </w:r>
      <w:r>
        <w:rPr>
          <w:rFonts w:hint="eastAsia" w:asciiTheme="minorEastAsia" w:hAnsiTheme="minorEastAsia" w:eastAsiaTheme="minorEastAsia"/>
          <w:color w:val="auto"/>
          <w:sz w:val="18"/>
          <w:szCs w:val="18"/>
        </w:rPr>
        <w:t>值；估值日无交易的，以最近交易日的收盘价估值。</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2)本产品投资的境内上市开放式基金（LOF），按所投资基金估值日的基金份额净值估值；估值日基金净值未公布的，以基金管理人公布的最近一个工作日基金份额净值计算。</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其他资产管理产品的估值</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其他资产管理产品，指理财产品投资的除证券投资基金以外的其他资产管理产品，主要包括：</w:t>
      </w:r>
      <w:r>
        <w:rPr>
          <w:rFonts w:hint="eastAsia" w:asciiTheme="minorEastAsia" w:hAnsiTheme="minorEastAsia" w:eastAsiaTheme="minorEastAsia"/>
          <w:bCs/>
          <w:sz w:val="18"/>
          <w:szCs w:val="18"/>
        </w:rPr>
        <w:t>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9.衍生金融工具估值</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w:t>
      </w:r>
      <w:r>
        <w:rPr>
          <w:rFonts w:asciiTheme="minorEastAsia" w:hAnsiTheme="minorEastAsia" w:eastAsiaTheme="minorEastAsia"/>
          <w:color w:val="auto"/>
          <w:sz w:val="18"/>
          <w:szCs w:val="18"/>
        </w:rPr>
        <w:t xml:space="preserve"> </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10.</w:t>
      </w:r>
      <w:r>
        <w:rPr>
          <w:rFonts w:hint="eastAsia" w:asciiTheme="minorEastAsia" w:hAnsiTheme="minorEastAsia" w:eastAsiaTheme="minorEastAsia"/>
          <w:b/>
          <w:color w:val="auto"/>
          <w:sz w:val="18"/>
          <w:szCs w:val="18"/>
        </w:rPr>
        <w:t>存款、拆借、回购等货币市场工具的估值</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以本金列示，按商定利率在实际持有期间内逐日计提利息。如有估值技术能更准确反映其公允价值的，采用估值技术进行估值。</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11.</w:t>
      </w:r>
      <w:r>
        <w:rPr>
          <w:rFonts w:hint="eastAsia" w:asciiTheme="minorEastAsia" w:hAnsiTheme="minorEastAsia" w:eastAsiaTheme="minorEastAsia"/>
          <w:color w:val="auto"/>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12.</w:t>
      </w:r>
      <w:r>
        <w:rPr>
          <w:rFonts w:hint="eastAsia"/>
        </w:rPr>
        <w:t xml:space="preserve"> </w:t>
      </w:r>
      <w:r>
        <w:rPr>
          <w:rFonts w:hint="eastAsia" w:asciiTheme="minorEastAsia" w:hAnsiTheme="minorEastAsia" w:eastAsiaTheme="minorEastAsia"/>
          <w:color w:val="auto"/>
          <w:sz w:val="18"/>
          <w:szCs w:val="18"/>
        </w:rPr>
        <w:t>当开放式公募理财产品（现金管理类理财产品除外）理财产品遭遇大额申购或赎回时，管理人可以采用摆动定价机制，以确保估值的公平性。具体操作按照相关法律法规、监管规定和自律规则执行。</w:t>
      </w:r>
    </w:p>
    <w:p>
      <w:pPr>
        <w:pStyle w:val="43"/>
        <w:spacing w:line="360" w:lineRule="auto"/>
        <w:ind w:firstLine="360" w:firstLineChars="200"/>
        <w:rPr>
          <w:rFonts w:ascii="黑体" w:hAnsi="黑体" w:eastAsia="黑体"/>
          <w:color w:val="auto"/>
          <w:sz w:val="18"/>
          <w:szCs w:val="18"/>
        </w:rPr>
      </w:pPr>
      <w:r>
        <w:rPr>
          <w:rFonts w:ascii="黑体" w:hAnsi="黑体" w:eastAsia="黑体"/>
          <w:color w:val="auto"/>
          <w:sz w:val="18"/>
          <w:szCs w:val="18"/>
        </w:rPr>
        <w:t>1</w:t>
      </w:r>
      <w:r>
        <w:rPr>
          <w:rFonts w:hint="eastAsia" w:ascii="黑体" w:hAnsi="黑体" w:eastAsia="黑体"/>
          <w:color w:val="auto"/>
          <w:sz w:val="18"/>
          <w:szCs w:val="18"/>
        </w:rPr>
        <w:t>3</w:t>
      </w:r>
      <w:r>
        <w:rPr>
          <w:rFonts w:ascii="黑体" w:hAnsi="黑体" w:eastAsia="黑体"/>
          <w:color w:val="auto"/>
          <w:sz w:val="18"/>
          <w:szCs w:val="18"/>
        </w:rPr>
        <w:t>.</w:t>
      </w:r>
      <w:r>
        <w:rPr>
          <w:rFonts w:hint="eastAsia" w:ascii="黑体" w:hAnsi="黑体" w:eastAsia="黑体"/>
          <w:color w:val="auto"/>
          <w:sz w:val="18"/>
          <w:szCs w:val="18"/>
        </w:rPr>
        <w:t>★估值方法的调整</w:t>
      </w:r>
    </w:p>
    <w:p>
      <w:pPr>
        <w:pStyle w:val="43"/>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若因相关法律法规以及监管部门有规定，需要调整估值方法的，管理人应按相关规定要求使用调整后的估值方法进行估值。</w:t>
      </w:r>
    </w:p>
    <w:p>
      <w:pPr>
        <w:pStyle w:val="43"/>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（五）估值程序</w:t>
      </w:r>
    </w:p>
    <w:p>
      <w:pPr>
        <w:pStyle w:val="43"/>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产品份额净值是按照估值日产品资产净值除以当日产品总份额计算，</w:t>
      </w:r>
      <w:r>
        <w:rPr>
          <w:rFonts w:asciiTheme="minorEastAsia" w:hAnsiTheme="minorEastAsia" w:eastAsiaTheme="minorEastAsia"/>
          <w:bCs/>
          <w:color w:val="auto"/>
          <w:sz w:val="18"/>
          <w:szCs w:val="18"/>
        </w:rPr>
        <w:t>四舍五入保留5位小数</w:t>
      </w:r>
      <w:r>
        <w:rPr>
          <w:rFonts w:hint="eastAsia" w:asciiTheme="minorEastAsia" w:hAnsiTheme="minorEastAsia" w:eastAsiaTheme="minorEastAsia"/>
          <w:color w:val="auto"/>
          <w:sz w:val="18"/>
          <w:szCs w:val="18"/>
        </w:rPr>
        <w:t>。国家另有规定的，从其规定。</w:t>
      </w:r>
      <w:r>
        <w:rPr>
          <w:rFonts w:hint="eastAsia" w:asciiTheme="minorEastAsia" w:hAnsiTheme="minorEastAsia" w:eastAsiaTheme="minorEastAsia"/>
          <w:bCs/>
          <w:color w:val="auto"/>
          <w:sz w:val="18"/>
          <w:szCs w:val="18"/>
        </w:rPr>
        <w:t>发生巨额赎回时，为保护投资者利益，产品管理人可提高单位产品净值的精度。</w:t>
      </w:r>
    </w:p>
    <w:p>
      <w:pPr>
        <w:pStyle w:val="43"/>
        <w:spacing w:line="360" w:lineRule="auto"/>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 xml:space="preserve">2.产品管理人对理财资产估值后，将产品份额净值发送产品托管人，经产品托管人复核无误后，由产品管理人按规定对外公布。 </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 xml:space="preserve">3. </w:t>
      </w:r>
      <w:r>
        <w:rPr>
          <w:rFonts w:hint="eastAsia" w:asciiTheme="minorEastAsia" w:hAnsiTheme="minorEastAsia" w:eastAsiaTheme="minorEastAsia"/>
          <w:color w:val="auto"/>
          <w:sz w:val="18"/>
          <w:szCs w:val="18"/>
        </w:rPr>
        <w:t>如产品管理人或产品托管人发现理财估值违反本说明书约定的估值方法、程序及相关法律法规的规定或者未能充分维护理财份额持有人权益时，应立即通知对方，共同查明原因，双方协商解决。</w:t>
      </w:r>
    </w:p>
    <w:p>
      <w:pPr>
        <w:pStyle w:val="43"/>
        <w:spacing w:line="360" w:lineRule="auto"/>
        <w:ind w:firstLine="361" w:firstLineChars="200"/>
        <w:rPr>
          <w:rFonts w:cs="Times New Roman" w:asciiTheme="minorEastAsia" w:hAnsiTheme="minorEastAsia" w:eastAsiaTheme="minorEastAsia"/>
          <w:b/>
          <w:color w:val="auto"/>
          <w:sz w:val="18"/>
          <w:szCs w:val="18"/>
        </w:rPr>
      </w:pPr>
      <w:r>
        <w:rPr>
          <w:rFonts w:hint="eastAsia" w:cs="Times New Roman" w:asciiTheme="minorEastAsia" w:hAnsiTheme="minorEastAsia" w:eastAsiaTheme="minorEastAsia"/>
          <w:b/>
          <w:color w:val="auto"/>
          <w:sz w:val="18"/>
          <w:szCs w:val="18"/>
        </w:rPr>
        <w:t>（六）估值主体</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43"/>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43"/>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43"/>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43"/>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43"/>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43"/>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Pr>
        <w:pStyle w:val="2"/>
        <w:spacing w:before="0" w:after="0" w:line="360" w:lineRule="auto"/>
        <w:ind w:left="60" w:firstLine="10"/>
        <w:jc w:val="center"/>
        <w:rPr>
          <w:rFonts w:ascii="Times New Roman"/>
          <w:sz w:val="30"/>
        </w:rPr>
      </w:pPr>
      <w:bookmarkStart w:id="145" w:name="_Hlt70481650"/>
      <w:bookmarkEnd w:id="145"/>
      <w:bookmarkStart w:id="146" w:name="_Toc31653"/>
      <w:bookmarkStart w:id="147" w:name="_Toc29251"/>
      <w:bookmarkStart w:id="148" w:name="_Toc31235"/>
      <w:bookmarkStart w:id="149" w:name="_Toc92377137"/>
      <w:bookmarkStart w:id="150" w:name="_Toc123102454"/>
      <w:bookmarkStart w:id="151" w:name="_Toc6405"/>
      <w:bookmarkStart w:id="152" w:name="_Toc14835"/>
      <w:bookmarkStart w:id="153" w:name="_Toc3601"/>
      <w:bookmarkStart w:id="154" w:name="_Toc98560353"/>
      <w:bookmarkStart w:id="155" w:name="_Toc13230"/>
      <w:bookmarkStart w:id="156" w:name="_Toc15143"/>
      <w:bookmarkStart w:id="157" w:name="_Toc31644"/>
      <w:bookmarkStart w:id="158" w:name="_Toc141703887"/>
      <w:bookmarkStart w:id="159" w:name="_Toc123051453"/>
      <w:bookmarkStart w:id="160" w:name="_Toc79154671"/>
      <w:bookmarkStart w:id="161" w:name="_Toc139991737"/>
      <w:bookmarkStart w:id="162" w:name="_Toc26207"/>
      <w:bookmarkStart w:id="163" w:name="_Toc12245"/>
      <w:bookmarkStart w:id="164" w:name="_Toc123112235"/>
      <w:bookmarkStart w:id="165" w:name="_Toc74065744"/>
      <w:r>
        <w:rPr>
          <w:rFonts w:ascii="Times New Roman"/>
          <w:sz w:val="30"/>
        </w:rPr>
        <w:t>第</w:t>
      </w:r>
      <w:r>
        <w:rPr>
          <w:rFonts w:hint="eastAsia" w:ascii="Times New Roman"/>
          <w:sz w:val="30"/>
        </w:rPr>
        <w:t>八条</w:t>
      </w:r>
      <w:r>
        <w:rPr>
          <w:rFonts w:ascii="Times New Roman"/>
          <w:sz w:val="30"/>
        </w:rPr>
        <w:t xml:space="preserve">  </w:t>
      </w:r>
      <w:r>
        <w:rPr>
          <w:rFonts w:hint="eastAsia" w:ascii="Times New Roman"/>
          <w:sz w:val="30"/>
        </w:rPr>
        <w:t>理财产品的利益分配</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Start w:id="166" w:name="_Hlt55355235"/>
      <w:bookmarkEnd w:id="166"/>
      <w:bookmarkStart w:id="167" w:name="_Toc523711668"/>
      <w:bookmarkStart w:id="168" w:name="_Toc57530239"/>
      <w:bookmarkStart w:id="169" w:name="_Toc15118234"/>
      <w:bookmarkStart w:id="170" w:name="_Toc79392580"/>
    </w:p>
    <w:p>
      <w:pPr>
        <w:pStyle w:val="43"/>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43"/>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43"/>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43"/>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43"/>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43"/>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43"/>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43"/>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43"/>
        <w:spacing w:line="360" w:lineRule="auto"/>
        <w:ind w:firstLine="361" w:firstLineChars="200"/>
        <w:rPr>
          <w:rFonts w:hAnsi="宋体"/>
          <w:b/>
          <w:bCs/>
          <w:color w:val="auto"/>
          <w:sz w:val="18"/>
          <w:szCs w:val="18"/>
        </w:rPr>
      </w:pPr>
      <w:r>
        <w:rPr>
          <w:rFonts w:hint="eastAsia" w:hAnsi="宋体"/>
          <w:b/>
          <w:bCs/>
          <w:color w:val="auto"/>
          <w:sz w:val="18"/>
          <w:szCs w:val="18"/>
        </w:rPr>
        <w:t>1.分配方案要点：</w:t>
      </w:r>
    </w:p>
    <w:p>
      <w:pPr>
        <w:pStyle w:val="43"/>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43"/>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43"/>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43"/>
        <w:spacing w:line="360" w:lineRule="auto"/>
        <w:ind w:firstLine="360" w:firstLineChars="200"/>
        <w:rPr>
          <w:rFonts w:hAnsi="宋体"/>
          <w:color w:val="auto"/>
          <w:sz w:val="18"/>
          <w:szCs w:val="18"/>
        </w:rPr>
      </w:pPr>
      <w:r>
        <w:rPr>
          <w:rFonts w:hint="eastAsia" w:hAnsi="宋体"/>
          <w:color w:val="auto"/>
          <w:sz w:val="18"/>
          <w:szCs w:val="18"/>
        </w:rPr>
        <w:t>3.产品管理人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43"/>
        <w:spacing w:line="360" w:lineRule="auto"/>
        <w:ind w:firstLine="360" w:firstLineChars="200"/>
        <w:rPr>
          <w:rFonts w:hAnsi="宋体"/>
          <w:color w:val="auto"/>
          <w:sz w:val="18"/>
          <w:szCs w:val="18"/>
        </w:rPr>
      </w:pPr>
      <w:r>
        <w:rPr>
          <w:rFonts w:hint="eastAsia" w:hAnsi="宋体"/>
          <w:color w:val="auto"/>
          <w:sz w:val="18"/>
          <w:szCs w:val="18"/>
        </w:rPr>
        <w:t>1.理财利益的分配日</w:t>
      </w:r>
    </w:p>
    <w:p>
      <w:pPr>
        <w:pStyle w:val="43"/>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43"/>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43"/>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w:t>
      </w:r>
      <w:r>
        <w:rPr>
          <w:rFonts w:hint="eastAsia" w:hAnsi="宋体"/>
          <w:color w:val="auto"/>
          <w:sz w:val="18"/>
          <w:szCs w:val="18"/>
        </w:rPr>
        <w:t>具体的理财利益分配以实际情况为准。</w:t>
      </w:r>
    </w:p>
    <w:p>
      <w:pPr>
        <w:widowControl/>
        <w:spacing w:line="360" w:lineRule="auto"/>
        <w:jc w:val="left"/>
        <w:rPr>
          <w:rFonts w:ascii="宋体" w:hAnsi="宋体"/>
          <w:kern w:val="0"/>
          <w:sz w:val="18"/>
          <w:szCs w:val="18"/>
        </w:rPr>
      </w:pPr>
      <w:r>
        <w:rPr>
          <w:rFonts w:hAnsi="宋体"/>
          <w:sz w:val="18"/>
          <w:szCs w:val="18"/>
        </w:rPr>
        <w:br w:type="page"/>
      </w:r>
    </w:p>
    <w:bookmarkEnd w:id="167"/>
    <w:bookmarkEnd w:id="168"/>
    <w:bookmarkEnd w:id="169"/>
    <w:bookmarkEnd w:id="170"/>
    <w:p>
      <w:pPr>
        <w:pStyle w:val="2"/>
        <w:spacing w:before="0" w:after="0" w:line="360" w:lineRule="auto"/>
        <w:jc w:val="center"/>
        <w:rPr>
          <w:rFonts w:ascii="Times New Roman"/>
          <w:sz w:val="30"/>
        </w:rPr>
      </w:pPr>
      <w:bookmarkStart w:id="171" w:name="_Hlt88897298"/>
      <w:bookmarkEnd w:id="171"/>
      <w:bookmarkStart w:id="172" w:name="_Hlt88825574"/>
      <w:bookmarkEnd w:id="172"/>
      <w:bookmarkStart w:id="173" w:name="_Toc139991738"/>
      <w:bookmarkStart w:id="174" w:name="_Toc98560354"/>
      <w:bookmarkStart w:id="175" w:name="_Toc18567"/>
      <w:bookmarkStart w:id="176" w:name="_Toc4559"/>
      <w:bookmarkStart w:id="177" w:name="_Toc92377138"/>
      <w:bookmarkStart w:id="178" w:name="_Toc123112236"/>
      <w:bookmarkStart w:id="179" w:name="_Toc79154672"/>
      <w:bookmarkStart w:id="180" w:name="_Toc6447"/>
      <w:bookmarkStart w:id="181" w:name="_Toc9706"/>
      <w:bookmarkStart w:id="182" w:name="_Toc7058"/>
      <w:bookmarkStart w:id="183" w:name="_Toc79392583"/>
      <w:bookmarkStart w:id="184" w:name="_Toc123051454"/>
      <w:bookmarkStart w:id="185" w:name="_Toc74065745"/>
      <w:bookmarkStart w:id="186" w:name="_Toc28842"/>
      <w:bookmarkStart w:id="187" w:name="_Toc123102455"/>
      <w:bookmarkStart w:id="188" w:name="_Toc3321"/>
      <w:bookmarkStart w:id="189" w:name="_Toc3771"/>
      <w:bookmarkStart w:id="190" w:name="_Toc141703888"/>
      <w:bookmarkStart w:id="191" w:name="_Toc11030"/>
      <w:bookmarkStart w:id="192" w:name="_Toc25783"/>
      <w:bookmarkStart w:id="193" w:name="_Toc10650"/>
      <w:r>
        <w:rPr>
          <w:rFonts w:ascii="Times New Roman"/>
          <w:sz w:val="30"/>
        </w:rPr>
        <w:t>第</w:t>
      </w:r>
      <w:r>
        <w:rPr>
          <w:rFonts w:hint="eastAsia" w:ascii="Times New Roman"/>
          <w:sz w:val="30"/>
        </w:rPr>
        <w:t>九条</w:t>
      </w:r>
      <w:r>
        <w:rPr>
          <w:rFonts w:ascii="Times New Roman"/>
          <w:sz w:val="30"/>
        </w:rPr>
        <w:t xml:space="preserve">  </w:t>
      </w:r>
      <w:r>
        <w:rPr>
          <w:rFonts w:hint="eastAsia" w:ascii="Times New Roman"/>
          <w:sz w:val="30"/>
        </w:rPr>
        <w:t>理财产品的费用与税收</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1）理财产品的认购费、申购费、赎回费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）理财产品的证券交易费用；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）理财产品的认购费、申购费、赎回费</w:t>
      </w:r>
    </w:p>
    <w:p>
      <w:pPr>
        <w:widowControl/>
        <w:spacing w:line="360" w:lineRule="auto"/>
        <w:ind w:firstLine="360" w:firstLineChars="200"/>
        <w:jc w:val="left"/>
        <w:rPr>
          <w:rFonts w:ascii="宋体" w:hAnsi="宋体"/>
          <w:sz w:val="18"/>
          <w:szCs w:val="18"/>
        </w:rPr>
      </w:pPr>
      <w:r>
        <w:rPr>
          <w:rFonts w:ascii="宋体" w:hAnsi="宋体"/>
          <w:kern w:val="0"/>
          <w:sz w:val="18"/>
          <w:szCs w:val="18"/>
        </w:rPr>
        <w:t>1）认购费：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ascii="宋体" w:hAnsi="宋体"/>
          <w:kern w:val="0"/>
          <w:sz w:val="18"/>
          <w:szCs w:val="18"/>
        </w:rPr>
        <w:t>2）申购费：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Style w:val="30"/>
          <w:rFonts w:ascii="宋体" w:hAnsi="宋体"/>
          <w:kern w:val="0"/>
        </w:rPr>
      </w:pPr>
      <w:r>
        <w:rPr>
          <w:rFonts w:ascii="宋体" w:hAnsi="宋体"/>
          <w:kern w:val="0"/>
          <w:sz w:val="18"/>
          <w:szCs w:val="18"/>
        </w:rPr>
        <w:t>3</w:t>
      </w:r>
      <w:r>
        <w:rPr>
          <w:rFonts w:hint="eastAsia" w:ascii="宋体" w:hAnsi="宋体"/>
          <w:kern w:val="0"/>
          <w:sz w:val="18"/>
          <w:szCs w:val="18"/>
        </w:rPr>
        <w:t>）赎回费：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43"/>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每份产品份额在超额业绩报酬计提日时，若理财资产扣除销售服务费、产品托管费和投资管理费等相关费用后，超额业绩报酬计提日产品份额净值折算的年化收益率超过</w:t>
      </w:r>
      <w:r>
        <w:rPr>
          <w:rFonts w:hint="eastAsia" w:ascii="宋体" w:hAnsi="Times New Roman"/>
          <w:color w:val="000000"/>
          <w:kern w:val="0"/>
          <w:sz w:val="18"/>
          <w:szCs w:val="18"/>
        </w:rPr>
        <w:t>业绩报酬计提基准</w:t>
      </w:r>
      <w:r>
        <w:rPr>
          <w:rFonts w:hint="eastAsia" w:asciiTheme="majorEastAsia" w:hAnsiTheme="majorEastAsia" w:eastAsiaTheme="majorEastAsia"/>
          <w:sz w:val="18"/>
          <w:szCs w:val="18"/>
        </w:rPr>
        <w:t>，则产品管理人收取超出部分的一定比例作为超额业绩报酬。由此造成超额业绩报酬计提日产品份额净值调整的，以调整后的数值为准进行利益分配。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③在投资者赎回日提取超额业绩报酬的，超额业绩报酬从赎回资金中扣除；在产品终止日提取超额业绩报酬的，超额业绩报酬从清算资金中扣除；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产品份额超额业绩报酬计提起始日为：a.募集期内认购的产品份额，以产品成立日为该笔产品份额超额业绩报酬计提起始日；b.存续期内申购的产品份额，以申购日为该笔产品份额超额业绩报酬计提起始日。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产品份额超额业绩报酬计提日为投资者赎回日或产品终止日。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份额年化收益率（R）超过</w:t>
      </w:r>
      <w:r>
        <w:rPr>
          <w:rFonts w:hint="eastAsia" w:ascii="宋体" w:hAnsi="Times New Roman"/>
          <w:color w:val="000000"/>
          <w:kern w:val="0"/>
          <w:sz w:val="18"/>
          <w:szCs w:val="18"/>
        </w:rPr>
        <w:t>业绩报酬计提基准</w:t>
      </w:r>
      <w:r>
        <w:rPr>
          <w:rFonts w:hint="eastAsia" w:asciiTheme="majorEastAsia" w:hAnsiTheme="majorEastAsia" w:eastAsiaTheme="majorEastAsia"/>
          <w:sz w:val="18"/>
          <w:szCs w:val="18"/>
        </w:rPr>
        <w:t>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w:t>
      </w:r>
      <w:r>
        <w:rPr>
          <w:rFonts w:hint="eastAsia" w:ascii="宋体" w:hAnsi="Times New Roman"/>
          <w:color w:val="000000"/>
          <w:kern w:val="0"/>
          <w:sz w:val="18"/>
          <w:szCs w:val="18"/>
        </w:rPr>
        <w:t>业绩报酬计提基准</w:t>
      </w:r>
      <w:r>
        <w:rPr>
          <w:rFonts w:hint="eastAsia" w:asciiTheme="majorEastAsia" w:hAnsiTheme="majorEastAsia" w:eastAsiaTheme="majorEastAsia"/>
          <w:sz w:val="18"/>
          <w:szCs w:val="18"/>
        </w:rPr>
        <w:t>，超额业绩报酬=0；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w:t>
      </w:r>
      <w:r>
        <w:rPr>
          <w:rFonts w:hint="eastAsia" w:ascii="宋体" w:hAnsi="Times New Roman"/>
          <w:color w:val="000000"/>
          <w:kern w:val="0"/>
          <w:sz w:val="18"/>
          <w:szCs w:val="18"/>
        </w:rPr>
        <w:t>业绩报酬计提基准</w:t>
      </w:r>
      <w:r>
        <w:rPr>
          <w:rFonts w:hint="eastAsia" w:asciiTheme="majorEastAsia" w:hAnsiTheme="majorEastAsia" w:eastAsiaTheme="majorEastAsia"/>
          <w:sz w:val="18"/>
          <w:szCs w:val="18"/>
        </w:rPr>
        <w:t>，超额业绩报酬=赎回的产品份额或产品终止时投资者持有的产品份额×产品成立日或产品份额申购日的产品份额净值×（R-</w:t>
      </w:r>
      <w:r>
        <w:rPr>
          <w:rFonts w:hint="eastAsia" w:ascii="宋体" w:hAnsi="Times New Roman"/>
          <w:color w:val="000000"/>
          <w:kern w:val="0"/>
          <w:sz w:val="18"/>
          <w:szCs w:val="18"/>
        </w:rPr>
        <w:t>业绩报酬计提基准</w:t>
      </w:r>
      <w:r>
        <w:rPr>
          <w:rFonts w:hint="eastAsia" w:asciiTheme="majorEastAsia" w:hAnsiTheme="majorEastAsia" w:eastAsiaTheme="majorEastAsia"/>
          <w:sz w:val="18"/>
          <w:szCs w:val="18"/>
        </w:rPr>
        <w:t>）×N×D/365；</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若该产品份额持有期间，超额业绩报酬计提规则有所调整，以该产品份额持有期间的每个计提规则分别计算整个份额持有期间应收取的超额业绩报酬数值，以较小的数值来收取超额业绩报酬。</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43"/>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43"/>
        <w:spacing w:line="360" w:lineRule="auto"/>
        <w:ind w:firstLine="360" w:firstLineChars="200"/>
        <w:rPr>
          <w:rFonts w:ascii="黑体" w:hAnsi="黑体" w:eastAsia="黑体"/>
          <w:color w:val="auto"/>
          <w:sz w:val="18"/>
        </w:rPr>
      </w:pPr>
      <w:r>
        <w:rPr>
          <w:rFonts w:hint="eastAsia" w:ascii="黑体" w:hAnsi="黑体" w:eastAsia="黑体"/>
          <w:color w:val="auto"/>
          <w:sz w:val="18"/>
        </w:rPr>
        <w:t>（1）发生巨额赎回时，为保护投资者利益，产品管理人有权对赎回日至赎回确认日之间的各项费用进行减免。</w:t>
      </w:r>
    </w:p>
    <w:p>
      <w:pPr>
        <w:pStyle w:val="43"/>
        <w:spacing w:line="360" w:lineRule="auto"/>
        <w:ind w:firstLine="360" w:firstLineChars="200"/>
        <w:rPr>
          <w:rFonts w:ascii="黑体" w:hAnsi="黑体" w:eastAsia="黑体"/>
          <w:b/>
          <w:color w:val="auto"/>
          <w:sz w:val="18"/>
        </w:rPr>
      </w:pPr>
      <w:r>
        <w:rPr>
          <w:rFonts w:hint="eastAsia" w:ascii="黑体" w:hAnsi="黑体" w:eastAsia="黑体"/>
          <w:color w:val="auto"/>
          <w:sz w:val="18"/>
        </w:rPr>
        <w:t>（2）产品管理人有权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94" w:name="_Toc3963"/>
      <w:bookmarkStart w:id="195" w:name="_Toc1745"/>
      <w:r>
        <w:br w:type="page"/>
      </w:r>
      <w:bookmarkStart w:id="196" w:name="_Toc123112237"/>
      <w:bookmarkStart w:id="197" w:name="_Toc3080"/>
      <w:bookmarkStart w:id="198" w:name="_Toc10398"/>
      <w:bookmarkStart w:id="199" w:name="_Toc123102456"/>
      <w:bookmarkStart w:id="200" w:name="_Toc18206"/>
      <w:bookmarkStart w:id="201" w:name="_Toc16164"/>
      <w:bookmarkStart w:id="202" w:name="_Toc123051455"/>
      <w:bookmarkStart w:id="203" w:name="_Toc725"/>
      <w:bookmarkStart w:id="204" w:name="_Toc74065746"/>
      <w:bookmarkStart w:id="205" w:name="_Toc92377139"/>
      <w:bookmarkStart w:id="206" w:name="_Toc141703889"/>
      <w:bookmarkStart w:id="207" w:name="_Toc98560355"/>
      <w:bookmarkStart w:id="208" w:name="_Toc139991739"/>
      <w:bookmarkStart w:id="209" w:name="_Toc79154673"/>
      <w:bookmarkStart w:id="210" w:name="_Toc24403"/>
      <w:bookmarkStart w:id="211" w:name="_Toc21735"/>
      <w:bookmarkStart w:id="212" w:name="_Toc3572"/>
      <w:bookmarkStart w:id="213" w:name="_Toc31821"/>
      <w:r>
        <w:rPr>
          <w:rFonts w:hint="eastAsia"/>
          <w:sz w:val="30"/>
        </w:rPr>
        <w:t>第十条</w:t>
      </w:r>
      <w:r>
        <w:rPr>
          <w:sz w:val="30"/>
        </w:rPr>
        <w:t xml:space="preserve">  </w:t>
      </w:r>
      <w:r>
        <w:rPr>
          <w:rFonts w:hint="eastAsia"/>
          <w:sz w:val="30"/>
        </w:rPr>
        <w:t>理财产品的终止与清算</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pPr>
        <w:spacing w:line="360" w:lineRule="auto"/>
        <w:ind w:firstLine="361" w:firstLineChars="200"/>
        <w:rPr>
          <w:rFonts w:asciiTheme="majorEastAsia" w:hAnsiTheme="majorEastAsia" w:eastAsiaTheme="majorEastAsia"/>
          <w:b/>
          <w:bCs/>
          <w:sz w:val="18"/>
          <w:szCs w:val="18"/>
        </w:rPr>
      </w:pPr>
      <w:bookmarkStart w:id="214" w:name="_Toc15118245"/>
      <w:bookmarkStart w:id="215" w:name="_Toc79392593"/>
      <w:bookmarkStart w:id="216"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因法律法规变化或国家金融政策调整、紧急措施出台影响产品继续正常运作。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法律法规规定或监管部门认定的其他情形。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因不可抗力等原因，导致产品管理人接受赎回申请后无法分配；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部分提前终止的利益分配：产品管理人将依照协议约定公布部分提前终止日并指定利益分配日（一般为部分提前终止日之后的【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变现之日。待全部资产变现后，产品管理人依照清算条款分配理财利益至投资者账户。</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此外，在投资者与管理人另行协商一致延期终止本产品的情况下，相应延期期间理财产品的投资运作，费用等事宜由双方另行约定。</w:t>
      </w:r>
    </w:p>
    <w:bookmarkEnd w:id="214"/>
    <w:bookmarkEnd w:id="215"/>
    <w:bookmarkEnd w:id="216"/>
    <w:p>
      <w:pPr>
        <w:pStyle w:val="2"/>
        <w:spacing w:before="0" w:after="0" w:line="360" w:lineRule="auto"/>
        <w:jc w:val="center"/>
        <w:rPr>
          <w:rFonts w:ascii="Times New Roman"/>
          <w:sz w:val="18"/>
          <w:szCs w:val="18"/>
        </w:rPr>
      </w:pPr>
      <w:r>
        <w:rPr>
          <w:rFonts w:ascii="Times New Roman"/>
          <w:b w:val="0"/>
          <w:bCs w:val="0"/>
          <w:kern w:val="2"/>
        </w:rPr>
        <w:br w:type="page"/>
      </w:r>
      <w:bookmarkStart w:id="217" w:name="_Toc14127"/>
      <w:bookmarkStart w:id="218" w:name="_Toc92377140"/>
      <w:bookmarkStart w:id="219" w:name="_Toc98560356"/>
      <w:bookmarkStart w:id="220" w:name="_Toc123102457"/>
      <w:bookmarkStart w:id="221" w:name="_Toc139991740"/>
      <w:bookmarkStart w:id="222" w:name="_Toc48649708"/>
      <w:bookmarkStart w:id="223" w:name="_Toc17920"/>
      <w:bookmarkStart w:id="224" w:name="_Toc8791"/>
      <w:bookmarkStart w:id="225" w:name="_Toc29408"/>
      <w:bookmarkStart w:id="226" w:name="_Toc74065747"/>
      <w:bookmarkStart w:id="227" w:name="_Toc32092"/>
      <w:bookmarkStart w:id="228" w:name="_Toc141703890"/>
      <w:bookmarkStart w:id="229" w:name="_Toc123112238"/>
      <w:bookmarkStart w:id="230" w:name="_Toc17198"/>
      <w:bookmarkStart w:id="231" w:name="_Toc32584"/>
      <w:bookmarkStart w:id="232" w:name="_Toc123051456"/>
      <w:bookmarkStart w:id="233" w:name="_Toc21237"/>
      <w:bookmarkStart w:id="234" w:name="_Toc739"/>
      <w:bookmarkStart w:id="235" w:name="_Toc3329"/>
      <w:bookmarkStart w:id="236" w:name="_Toc79154674"/>
      <w:bookmarkStart w:id="237" w:name="_Toc5170"/>
      <w:bookmarkStart w:id="238" w:name="_Toc79392622"/>
      <w:bookmarkStart w:id="239" w:name="_Toc83391975"/>
      <w:r>
        <w:rPr>
          <w:rFonts w:hint="eastAsia" w:ascii="Times New Roman"/>
          <w:sz w:val="28"/>
          <w:szCs w:val="28"/>
        </w:rPr>
        <w:t>第十一条</w:t>
      </w:r>
      <w:r>
        <w:rPr>
          <w:rFonts w:ascii="Times New Roman"/>
          <w:sz w:val="28"/>
          <w:szCs w:val="28"/>
        </w:rPr>
        <w:t xml:space="preserve">  </w:t>
      </w:r>
      <w:r>
        <w:rPr>
          <w:rFonts w:hint="eastAsia" w:ascii="Times New Roman"/>
          <w:sz w:val="28"/>
          <w:szCs w:val="28"/>
        </w:rPr>
        <w:t>理财产品的信息披露</w:t>
      </w:r>
      <w:bookmarkEnd w:id="217"/>
      <w:bookmarkEnd w:id="218"/>
    </w:p>
    <w:p>
      <w:pPr>
        <w:spacing w:line="360" w:lineRule="auto"/>
        <w:ind w:firstLine="361" w:firstLineChars="200"/>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firstLineChars="20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firstLineChars="200"/>
        <w:rPr>
          <w:rFonts w:ascii="宋体" w:hAnsi="宋体"/>
          <w:b/>
          <w:bCs/>
          <w:sz w:val="18"/>
          <w:szCs w:val="18"/>
        </w:rPr>
      </w:pPr>
      <w:r>
        <w:rPr>
          <w:rFonts w:hint="eastAsia" w:ascii="宋体" w:hAnsi="宋体"/>
          <w:b/>
          <w:bCs/>
          <w:sz w:val="18"/>
          <w:szCs w:val="18"/>
        </w:rPr>
        <w:t>（二）信息披露的渠道</w:t>
      </w:r>
    </w:p>
    <w:p>
      <w:pPr>
        <w:spacing w:line="360" w:lineRule="auto"/>
        <w:ind w:firstLine="360" w:firstLineChars="200"/>
        <w:rPr>
          <w:rFonts w:ascii="宋体" w:hAnsi="宋体"/>
          <w:bCs/>
          <w:sz w:val="18"/>
          <w:szCs w:val="18"/>
        </w:rPr>
      </w:pPr>
      <w:r>
        <w:rPr>
          <w:rFonts w:ascii="宋体" w:hAnsi="宋体"/>
          <w:bCs/>
          <w:sz w:val="18"/>
          <w:szCs w:val="18"/>
        </w:rPr>
        <w:t>1.产品管理人将以兴业银行或销售机构的信息披露渠道（包括但不限于兴业银行或销售机构的营业网点、门户网站、电子销售渠道等）作为本理财产品的信息披露渠道。本理财产品认购期和存续期间，产品管理人将通过兴业银行或销售机构的信息披露渠道开展理财产品的信息披露工作。请投资者及时关注。</w:t>
      </w:r>
    </w:p>
    <w:p>
      <w:pPr>
        <w:spacing w:line="360" w:lineRule="auto"/>
        <w:ind w:firstLine="360" w:firstLineChars="20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通过兴业银行或销售机构的信息披露渠道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firstLineChars="20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firstLineChars="20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firstLineChars="200"/>
        <w:rPr>
          <w:rFonts w:ascii="宋体" w:hAnsi="宋体"/>
          <w:b/>
          <w:bCs/>
          <w:sz w:val="18"/>
          <w:szCs w:val="18"/>
        </w:rPr>
      </w:pPr>
      <w:r>
        <w:rPr>
          <w:rFonts w:hint="eastAsia" w:ascii="宋体" w:hAnsi="宋体"/>
          <w:b/>
          <w:bCs/>
          <w:sz w:val="18"/>
          <w:szCs w:val="18"/>
        </w:rPr>
        <w:t>（三）信息披露的内容</w:t>
      </w:r>
    </w:p>
    <w:p>
      <w:pPr>
        <w:spacing w:line="360" w:lineRule="auto"/>
        <w:ind w:firstLine="360" w:firstLineChars="20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firstLineChars="200"/>
        <w:rPr>
          <w:rFonts w:ascii="宋体" w:hAnsi="宋体"/>
          <w:b/>
          <w:bCs/>
          <w:sz w:val="18"/>
          <w:szCs w:val="18"/>
        </w:rPr>
      </w:pPr>
      <w:r>
        <w:rPr>
          <w:rFonts w:hint="eastAsia" w:ascii="宋体" w:hAnsi="宋体"/>
          <w:b/>
          <w:bCs/>
          <w:sz w:val="18"/>
          <w:szCs w:val="18"/>
        </w:rPr>
        <w:t>（四）信息披露的频率和时间</w:t>
      </w:r>
    </w:p>
    <w:p>
      <w:pPr>
        <w:spacing w:line="360" w:lineRule="auto"/>
        <w:ind w:firstLine="360" w:firstLineChars="200"/>
        <w:rPr>
          <w:rFonts w:ascii="宋体" w:hAnsi="宋体"/>
          <w:bCs/>
          <w:sz w:val="18"/>
          <w:szCs w:val="18"/>
        </w:rPr>
      </w:pPr>
      <w:r>
        <w:rPr>
          <w:rFonts w:ascii="宋体" w:hAnsi="宋体"/>
          <w:bCs/>
          <w:sz w:val="18"/>
          <w:szCs w:val="18"/>
        </w:rPr>
        <w:t>1.产品成立公告</w:t>
      </w:r>
    </w:p>
    <w:p>
      <w:pPr>
        <w:spacing w:line="360" w:lineRule="auto"/>
        <w:ind w:firstLine="360" w:firstLineChars="20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firstLineChars="20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firstLineChars="20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firstLineChars="200"/>
        <w:rPr>
          <w:rFonts w:ascii="宋体" w:hAnsi="宋体"/>
          <w:bCs/>
          <w:sz w:val="18"/>
          <w:szCs w:val="18"/>
        </w:rPr>
      </w:pPr>
      <w:r>
        <w:rPr>
          <w:rFonts w:ascii="宋体" w:hAnsi="宋体"/>
          <w:bCs/>
          <w:sz w:val="18"/>
          <w:szCs w:val="18"/>
        </w:rPr>
        <w:t>3.定期报告</w:t>
      </w:r>
    </w:p>
    <w:p>
      <w:pPr>
        <w:spacing w:line="360" w:lineRule="auto"/>
        <w:ind w:firstLine="360" w:firstLineChars="20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firstLineChars="200"/>
        <w:rPr>
          <w:rFonts w:ascii="宋体" w:hAnsi="宋体"/>
          <w:bCs/>
          <w:sz w:val="18"/>
          <w:szCs w:val="18"/>
        </w:rPr>
      </w:pPr>
      <w:r>
        <w:rPr>
          <w:rFonts w:ascii="宋体" w:hAnsi="宋体"/>
          <w:bCs/>
          <w:sz w:val="18"/>
          <w:szCs w:val="18"/>
        </w:rPr>
        <w:t>4.到期公告</w:t>
      </w:r>
    </w:p>
    <w:p>
      <w:pPr>
        <w:spacing w:line="360" w:lineRule="auto"/>
        <w:ind w:firstLine="360" w:firstLineChars="20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firstLineChars="200"/>
        <w:rPr>
          <w:rFonts w:ascii="宋体" w:hAnsi="宋体"/>
          <w:bCs/>
          <w:sz w:val="18"/>
          <w:szCs w:val="18"/>
        </w:rPr>
      </w:pPr>
      <w:r>
        <w:rPr>
          <w:rFonts w:ascii="宋体" w:hAnsi="宋体"/>
          <w:bCs/>
          <w:sz w:val="18"/>
          <w:szCs w:val="18"/>
        </w:rPr>
        <w:t>5.开放日公告</w:t>
      </w:r>
    </w:p>
    <w:p>
      <w:pPr>
        <w:spacing w:line="360" w:lineRule="auto"/>
        <w:ind w:firstLine="360" w:firstLineChars="200"/>
        <w:rPr>
          <w:rFonts w:ascii="宋体" w:hAnsi="宋体"/>
          <w:bCs/>
          <w:sz w:val="18"/>
          <w:szCs w:val="18"/>
        </w:rPr>
      </w:pPr>
      <w:r>
        <w:rPr>
          <w:rFonts w:hint="eastAsia" w:ascii="宋体" w:hAnsi="宋体"/>
          <w:sz w:val="18"/>
          <w:szCs w:val="18"/>
        </w:rPr>
        <w:t>产品管理人</w:t>
      </w:r>
      <w:r>
        <w:rPr>
          <w:rFonts w:hint="eastAsia" w:ascii="宋体" w:hAnsi="宋体"/>
          <w:bCs/>
          <w:sz w:val="18"/>
          <w:szCs w:val="18"/>
        </w:rPr>
        <w:t>在申购日</w:t>
      </w:r>
      <w:r>
        <w:rPr>
          <w:rFonts w:ascii="宋体" w:hAnsi="宋体"/>
          <w:bCs/>
          <w:sz w:val="18"/>
          <w:szCs w:val="18"/>
        </w:rPr>
        <w:t>/赎回日结束后2个工作日内披露开放日公告，公告内容包括申购日/赎回日</w:t>
      </w:r>
      <w:r>
        <w:rPr>
          <w:rFonts w:hint="eastAsia" w:ascii="宋体" w:hAnsi="宋体"/>
          <w:bCs/>
          <w:sz w:val="18"/>
          <w:szCs w:val="18"/>
        </w:rPr>
        <w:t>的产品份额净值、产品份额累计净值、业绩比较基准（如有）、业绩报酬计提基准（如有）等。</w:t>
      </w:r>
    </w:p>
    <w:p>
      <w:pPr>
        <w:spacing w:line="360" w:lineRule="auto"/>
        <w:ind w:firstLine="360" w:firstLineChars="200"/>
        <w:rPr>
          <w:rFonts w:ascii="宋体" w:hAnsi="宋体"/>
          <w:bCs/>
          <w:sz w:val="18"/>
          <w:szCs w:val="18"/>
        </w:rPr>
      </w:pPr>
      <w:r>
        <w:rPr>
          <w:rFonts w:hint="eastAsia" w:ascii="宋体" w:hAnsi="宋体"/>
          <w:bCs/>
          <w:sz w:val="18"/>
          <w:szCs w:val="18"/>
        </w:rPr>
        <w:t>6</w:t>
      </w:r>
      <w:r>
        <w:rPr>
          <w:rFonts w:ascii="宋体" w:hAnsi="宋体"/>
          <w:bCs/>
          <w:sz w:val="18"/>
          <w:szCs w:val="18"/>
        </w:rPr>
        <w:t>.估值日公告</w:t>
      </w:r>
    </w:p>
    <w:p>
      <w:pPr>
        <w:spacing w:line="360" w:lineRule="auto"/>
        <w:ind w:firstLine="360" w:firstLineChars="200"/>
        <w:rPr>
          <w:rFonts w:ascii="宋体" w:hAnsi="宋体"/>
          <w:bCs/>
          <w:sz w:val="18"/>
          <w:szCs w:val="18"/>
        </w:rPr>
      </w:pPr>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期间，每周向投资者披露一次估值日公告，估值日公告披露的内容包括估值日的产品份额净值、产品份额累计净值、业绩比较基准（如有）、</w:t>
      </w:r>
      <w:r>
        <w:rPr>
          <w:rFonts w:ascii="宋体" w:hAnsi="宋体"/>
          <w:bCs/>
          <w:sz w:val="18"/>
          <w:szCs w:val="18"/>
        </w:rPr>
        <w:t>业绩报酬计提</w:t>
      </w:r>
      <w:r>
        <w:rPr>
          <w:rFonts w:hint="eastAsia" w:ascii="宋体" w:hAnsi="宋体"/>
          <w:bCs/>
          <w:sz w:val="18"/>
          <w:szCs w:val="18"/>
        </w:rPr>
        <w:t>基准</w:t>
      </w:r>
      <w:r>
        <w:rPr>
          <w:rFonts w:ascii="宋体" w:hAnsi="宋体"/>
          <w:bCs/>
          <w:sz w:val="18"/>
          <w:szCs w:val="18"/>
        </w:rPr>
        <w:t>（</w:t>
      </w:r>
      <w:r>
        <w:rPr>
          <w:rFonts w:hint="eastAsia" w:ascii="宋体" w:hAnsi="宋体"/>
          <w:bCs/>
          <w:sz w:val="18"/>
          <w:szCs w:val="18"/>
        </w:rPr>
        <w:t>如有</w:t>
      </w:r>
      <w:r>
        <w:rPr>
          <w:rFonts w:ascii="宋体" w:hAnsi="宋体"/>
          <w:bCs/>
          <w:sz w:val="18"/>
          <w:szCs w:val="18"/>
        </w:rPr>
        <w:t>）</w:t>
      </w:r>
      <w:r>
        <w:rPr>
          <w:rFonts w:hint="eastAsia" w:ascii="宋体" w:hAnsi="宋体"/>
          <w:bCs/>
          <w:sz w:val="18"/>
          <w:szCs w:val="18"/>
        </w:rPr>
        <w:t>等。如遇法定节假日顺延。此外，如遇其他特殊情况，以产品管理人信息披露为准。</w:t>
      </w:r>
      <w:r>
        <w:rPr>
          <w:rFonts w:ascii="宋体" w:hAnsi="宋体"/>
          <w:bCs/>
          <w:sz w:val="18"/>
          <w:szCs w:val="18"/>
        </w:rPr>
        <w:t xml:space="preserve"> </w:t>
      </w:r>
    </w:p>
    <w:p>
      <w:pPr>
        <w:spacing w:line="360" w:lineRule="auto"/>
        <w:ind w:firstLine="360" w:firstLineChars="200"/>
        <w:rPr>
          <w:rFonts w:ascii="宋体" w:hAnsi="宋体"/>
          <w:bCs/>
          <w:sz w:val="18"/>
          <w:szCs w:val="18"/>
        </w:rPr>
      </w:pPr>
      <w:r>
        <w:rPr>
          <w:rFonts w:ascii="宋体" w:hAnsi="宋体"/>
          <w:bCs/>
          <w:sz w:val="18"/>
          <w:szCs w:val="18"/>
        </w:rPr>
        <w:t>7.临时公告</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特别提示：在一个完整投资周期结束前，管理人有权通过更新产品说明书中的业绩比较基准（如有）、业绩报酬计提基准（如有），以明确列示下一个完整投资周期对应的业绩比较基准（如有）、业绩报酬计提基准（如有），若相关基准数值发生变更的，不再另行发布公告。</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w:t>
      </w:r>
      <w:r>
        <w:rPr>
          <w:rFonts w:ascii="宋体" w:hAnsi="宋体"/>
          <w:bCs/>
          <w:sz w:val="18"/>
          <w:szCs w:val="18"/>
        </w:rPr>
        <w:t>/申购</w:t>
      </w:r>
      <w:r>
        <w:rPr>
          <w:rFonts w:hint="eastAsia" w:ascii="宋体" w:hAnsi="宋体"/>
          <w:bCs/>
          <w:sz w:val="18"/>
          <w:szCs w:val="18"/>
        </w:rPr>
        <w:t>申请、暂停接受</w:t>
      </w:r>
      <w:r>
        <w:rPr>
          <w:rFonts w:ascii="宋体" w:hAnsi="宋体"/>
          <w:bCs/>
          <w:sz w:val="18"/>
          <w:szCs w:val="18"/>
        </w:rPr>
        <w:t>投资者</w:t>
      </w:r>
      <w:r>
        <w:rPr>
          <w:rFonts w:hint="eastAsia" w:ascii="宋体" w:hAnsi="宋体"/>
          <w:bCs/>
          <w:sz w:val="18"/>
          <w:szCs w:val="18"/>
        </w:rPr>
        <w:t>赎回申请、延缓支付赎回款项、</w:t>
      </w:r>
      <w:r>
        <w:rPr>
          <w:rFonts w:ascii="宋体" w:hAnsi="宋体"/>
          <w:bCs/>
          <w:sz w:val="18"/>
          <w:szCs w:val="18"/>
        </w:rPr>
        <w:t>巨额赎回</w:t>
      </w:r>
      <w:r>
        <w:rPr>
          <w:rFonts w:hint="eastAsia" w:ascii="宋体" w:hAnsi="宋体"/>
          <w:bCs/>
          <w:sz w:val="18"/>
          <w:szCs w:val="18"/>
        </w:rPr>
        <w:t>、暂停理财产品估值、采用摆动定价</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在发生涉及产品认购、申购或赎回事项调整或潜在影响投资者赎回等事项时，管理人将发布临时公告。</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firstLineChars="20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bCs/>
          <w:sz w:val="24"/>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并可按照理财产品销售文件约定的方式退出（若为封闭式理财产品的，在符合法律法规及监管政策的前提下，可由管理人另行决定投资者的退出方式）。若投资者未选择退出本产品的，则视为已理解并接受管理人的相应变更。</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Pr>
          <w:sz w:val="24"/>
        </w:rPr>
        <w:br w:type="page"/>
      </w:r>
    </w:p>
    <w:p>
      <w:pPr>
        <w:pStyle w:val="2"/>
        <w:spacing w:before="0" w:after="0" w:line="360" w:lineRule="auto"/>
        <w:jc w:val="center"/>
        <w:rPr>
          <w:rFonts w:ascii="Times New Roman"/>
          <w:b w:val="0"/>
          <w:sz w:val="30"/>
        </w:rPr>
      </w:pPr>
      <w:bookmarkStart w:id="240" w:name="_Toc92377141"/>
      <w:bookmarkStart w:id="241" w:name="_Toc79154675"/>
      <w:bookmarkStart w:id="242" w:name="_Toc17924"/>
      <w:r>
        <w:rPr>
          <w:rFonts w:hint="eastAsia" w:ascii="Times New Roman"/>
          <w:sz w:val="30"/>
        </w:rPr>
        <w:t>第十二条</w:t>
      </w:r>
      <w:r>
        <w:rPr>
          <w:rFonts w:ascii="Times New Roman"/>
          <w:sz w:val="30"/>
        </w:rPr>
        <w:t xml:space="preserve">  </w:t>
      </w:r>
      <w:r>
        <w:rPr>
          <w:rFonts w:hint="eastAsia" w:ascii="Times New Roman"/>
          <w:sz w:val="30"/>
        </w:rPr>
        <w:t>理财产品</w:t>
      </w:r>
      <w:r>
        <w:rPr>
          <w:rFonts w:ascii="Times New Roman"/>
          <w:sz w:val="30"/>
        </w:rPr>
        <w:t>的风险揭示</w:t>
      </w:r>
      <w:bookmarkEnd w:id="240"/>
      <w:bookmarkEnd w:id="241"/>
      <w:bookmarkEnd w:id="242"/>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（1）投资固定收益类资产的风险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sz w:val="18"/>
          <w:szCs w:val="18"/>
        </w:rPr>
      </w:pPr>
      <w:r>
        <w:rPr>
          <w:rFonts w:hint="eastAsia" w:ascii="宋体" w:hAnsi="宋体"/>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spacing w:line="360" w:lineRule="auto"/>
        <w:ind w:firstLine="360" w:firstLineChars="200"/>
        <w:rPr>
          <w:rFonts w:ascii="宋体" w:hAnsi="宋体"/>
          <w:sz w:val="18"/>
          <w:szCs w:val="18"/>
        </w:rPr>
      </w:pPr>
      <w:r>
        <w:rPr>
          <w:rFonts w:hint="eastAsia" w:ascii="宋体" w:hAnsi="宋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.市场</w:t>
      </w:r>
      <w:r>
        <w:rPr>
          <w:rFonts w:ascii="宋体" w:hAnsi="宋体"/>
          <w:sz w:val="18"/>
          <w:szCs w:val="18"/>
        </w:rPr>
        <w:t>风险：</w:t>
      </w: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ascii="宋体" w:hAnsi="宋体"/>
          <w:sz w:val="18"/>
          <w:szCs w:val="18"/>
        </w:rPr>
        <w:t>5</w:t>
      </w:r>
      <w:r>
        <w:rPr>
          <w:rFonts w:hint="eastAsia" w:ascii="宋体" w:hAnsi="宋体"/>
          <w:sz w:val="18"/>
          <w:szCs w:val="18"/>
        </w:rPr>
        <w:t>.</w:t>
      </w:r>
      <w:r>
        <w:rPr>
          <w:rFonts w:ascii="宋体" w:hAnsi="宋体"/>
          <w:sz w:val="18"/>
          <w:szCs w:val="18"/>
        </w:rPr>
        <w:t>法律与政策风险：</w:t>
      </w: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w:t>
      </w:r>
      <w:r>
        <w:rPr>
          <w:rFonts w:ascii="宋体" w:hAnsi="宋体"/>
          <w:sz w:val="18"/>
          <w:szCs w:val="18"/>
        </w:rPr>
        <w:t>延期</w:t>
      </w:r>
      <w:r>
        <w:rPr>
          <w:rFonts w:hint="eastAsia" w:ascii="宋体" w:hAnsi="宋体"/>
          <w:sz w:val="18"/>
          <w:szCs w:val="18"/>
        </w:rPr>
        <w:t>分配</w:t>
      </w:r>
      <w:r>
        <w:rPr>
          <w:rFonts w:ascii="宋体" w:hAnsi="宋体"/>
          <w:sz w:val="18"/>
          <w:szCs w:val="18"/>
        </w:rPr>
        <w:t>风险：</w:t>
      </w: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w:t>
      </w:r>
      <w:r>
        <w:rPr>
          <w:rFonts w:ascii="宋体" w:hAnsi="宋体"/>
          <w:sz w:val="18"/>
          <w:szCs w:val="18"/>
        </w:rPr>
        <w:t>早偿风险：</w:t>
      </w:r>
      <w:r>
        <w:rPr>
          <w:rFonts w:hint="eastAsia" w:ascii="宋体" w:hAnsi="宋体"/>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ascii="黑体" w:hAnsi="黑体" w:eastAsia="黑体"/>
          <w:sz w:val="18"/>
          <w:szCs w:val="18"/>
        </w:rPr>
        <w:t>8. ★信息传递风险：</w:t>
      </w:r>
      <w:r>
        <w:rPr>
          <w:rFonts w:hint="eastAsia" w:ascii="黑体" w:hAnsi="黑体" w:eastAsia="黑体"/>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w:t>
      </w:r>
      <w:r>
        <w:rPr>
          <w:rFonts w:ascii="宋体" w:hAnsi="宋体"/>
          <w:sz w:val="18"/>
          <w:szCs w:val="18"/>
        </w:rPr>
        <w:t>不可抗力及意外事件风险：</w:t>
      </w: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bCs/>
          <w:sz w:val="18"/>
          <w:szCs w:val="18"/>
        </w:rPr>
      </w:pPr>
      <w:r>
        <w:rPr>
          <w:rFonts w:ascii="宋体" w:hAnsi="宋体"/>
          <w:sz w:val="18"/>
          <w:szCs w:val="18"/>
        </w:rPr>
        <w:t>10</w:t>
      </w:r>
      <w:r>
        <w:rPr>
          <w:rFonts w:hint="eastAsia" w:ascii="宋体" w:hAnsi="宋体"/>
          <w:sz w:val="18"/>
          <w:szCs w:val="18"/>
        </w:rPr>
        <w:t>.</w:t>
      </w:r>
      <w:r>
        <w:rPr>
          <w:rFonts w:ascii="宋体" w:hAnsi="宋体"/>
          <w:sz w:val="18"/>
          <w:szCs w:val="18"/>
        </w:rPr>
        <w:t>管理人风险：</w:t>
      </w:r>
      <w:r>
        <w:rPr>
          <w:rFonts w:hint="eastAsia" w:ascii="宋体" w:hAnsi="宋体"/>
          <w:sz w:val="18"/>
          <w:szCs w:val="18"/>
        </w:rPr>
        <w:t>理财产品管理人或理财投资资产相关服务机构受经验、技能等因素的限制，或者上述主体处理事务不当等，可能导致投资者遭受损失。</w:t>
      </w:r>
      <w:r>
        <w:rPr>
          <w:rFonts w:ascii="宋体" w:hAnsi="宋体"/>
          <w:bCs/>
          <w:sz w:val="18"/>
          <w:szCs w:val="18"/>
        </w:rPr>
        <w:t xml:space="preserve"> </w:t>
      </w:r>
    </w:p>
    <w:p>
      <w:pPr>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.理财产品不成立风险：如自本产品开始募集至认购期结束认购总金额未达到产品最小成立规模（如有约定），或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w:t>
      </w:r>
      <w:r>
        <w:rPr>
          <w:rFonts w:ascii="宋体" w:hAnsi="宋体"/>
          <w:sz w:val="18"/>
          <w:szCs w:val="18"/>
        </w:rPr>
        <w:t>操作风险：</w:t>
      </w: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13.估值</w:t>
      </w:r>
      <w:r>
        <w:rPr>
          <w:rFonts w:hint="eastAsia" w:ascii="宋体" w:hAnsi="宋体"/>
          <w:sz w:val="18"/>
          <w:szCs w:val="18"/>
        </w:rPr>
        <w:t>波动</w:t>
      </w:r>
      <w:r>
        <w:rPr>
          <w:rFonts w:ascii="宋体" w:hAnsi="宋体"/>
          <w:sz w:val="18"/>
          <w:szCs w:val="18"/>
        </w:rPr>
        <w:t>风险：</w:t>
      </w: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14</w:t>
      </w:r>
      <w:r>
        <w:rPr>
          <w:rFonts w:hint="eastAsia" w:ascii="宋体" w:hAnsi="宋体"/>
          <w:sz w:val="18"/>
          <w:szCs w:val="18"/>
        </w:rPr>
        <w:t>.</w:t>
      </w:r>
      <w:r>
        <w:rPr>
          <w:rFonts w:ascii="宋体" w:hAnsi="宋体"/>
          <w:sz w:val="18"/>
          <w:szCs w:val="18"/>
        </w:rPr>
        <w:t>估值差错风险：</w:t>
      </w: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宋体" w:hAnsi="宋体"/>
          <w:sz w:val="18"/>
          <w:szCs w:val="18"/>
        </w:rPr>
      </w:pPr>
      <w:r>
        <w:rPr>
          <w:rFonts w:ascii="宋体" w:hAnsi="宋体"/>
          <w:sz w:val="18"/>
          <w:szCs w:val="18"/>
        </w:rPr>
        <w:t>15</w:t>
      </w:r>
      <w:r>
        <w:rPr>
          <w:rFonts w:hint="eastAsia" w:ascii="宋体" w:hAnsi="宋体"/>
          <w:sz w:val="18"/>
          <w:szCs w:val="18"/>
        </w:rPr>
        <w:t>.★</w:t>
      </w:r>
      <w:r>
        <w:rPr>
          <w:rFonts w:hint="eastAsia" w:ascii="黑体" w:hAnsi="黑体" w:eastAsia="黑体"/>
          <w:sz w:val="18"/>
          <w:szCs w:val="18"/>
        </w:rPr>
        <w:t>代销风险：本理财产品若通过非产品管理人自有渠道进行销售的属于代理销售，认购</w:t>
      </w:r>
      <w:r>
        <w:rPr>
          <w:rFonts w:ascii="黑体" w:hAnsi="黑体" w:eastAsia="黑体"/>
          <w:sz w:val="18"/>
          <w:szCs w:val="18"/>
        </w:rPr>
        <w:t>/</w:t>
      </w:r>
      <w:r>
        <w:rPr>
          <w:rFonts w:hint="eastAsia" w:ascii="黑体" w:hAnsi="黑体" w:eastAsia="黑体"/>
          <w:sz w:val="18"/>
          <w:szCs w:val="18"/>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hAnsi="黑体" w:eastAsia="黑体"/>
          <w:sz w:val="18"/>
          <w:szCs w:val="18"/>
        </w:rPr>
        <w:t>申购/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r>
        <w:rPr>
          <w:rFonts w:hint="eastAsia" w:ascii="黑体" w:hAnsi="黑体" w:eastAsia="黑体"/>
          <w:sz w:val="18"/>
          <w:szCs w:val="18"/>
        </w:rPr>
        <w:t>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16.</w:t>
      </w:r>
      <w:r>
        <w:rPr>
          <w:rFonts w:hint="eastAsia" w:ascii="黑体" w:hAnsi="黑体" w:eastAsia="黑体"/>
          <w:sz w:val="18"/>
          <w:szCs w:val="18"/>
        </w:rPr>
        <w:t>★不同理财产品份额类别存在差异的风险：理财产品管理人可根据投资者购买理财产品的金额、销售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17.</w:t>
      </w:r>
      <w:r>
        <w:rPr>
          <w:rFonts w:hint="eastAsia" w:ascii="黑体" w:hAnsi="黑体" w:eastAsia="黑体"/>
          <w:sz w:val="18"/>
          <w:szCs w:val="18"/>
        </w:rPr>
        <w:t xml:space="preserve"> 关联交易风险</w:t>
      </w: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1" w:firstLineChars="200"/>
        <w:rPr>
          <w:rFonts w:ascii="黑体" w:hAnsi="黑体" w:eastAsia="黑体"/>
          <w:b/>
          <w:sz w:val="18"/>
          <w:szCs w:val="18"/>
        </w:rPr>
      </w:pPr>
      <w:r>
        <w:rPr>
          <w:rFonts w:hint="eastAsia" w:ascii="黑体" w:hAnsi="黑体" w:eastAsia="黑体"/>
          <w:b/>
          <w:sz w:val="18"/>
          <w:szCs w:val="18"/>
        </w:rPr>
        <w:t>（</w:t>
      </w:r>
      <w:r>
        <w:rPr>
          <w:rFonts w:ascii="黑体" w:hAnsi="黑体" w:eastAsia="黑体"/>
          <w:b/>
          <w:sz w:val="18"/>
          <w:szCs w:val="18"/>
        </w:rPr>
        <w:t>三</w:t>
      </w:r>
      <w:r>
        <w:rPr>
          <w:rFonts w:hint="eastAsia" w:ascii="黑体" w:hAnsi="黑体" w:eastAsia="黑体"/>
          <w:b/>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b/>
          <w:sz w:val="18"/>
          <w:szCs w:val="18"/>
        </w:rPr>
        <w:t>，甚至投资者的投资本金将遭受损失，在最不利的极端情况下，投资者可能损失全部本金。</w:t>
      </w:r>
    </w:p>
    <w:p>
      <w:pPr>
        <w:spacing w:line="360" w:lineRule="auto"/>
        <w:ind w:firstLine="360" w:firstLineChars="200"/>
        <w:rPr>
          <w:rFonts w:ascii="宋体" w:hAnsi="宋体"/>
          <w:sz w:val="18"/>
          <w:szCs w:val="18"/>
        </w:rPr>
      </w:pPr>
    </w:p>
    <w:p>
      <w:pPr>
        <w:pStyle w:val="43"/>
        <w:spacing w:line="360" w:lineRule="auto"/>
        <w:rPr>
          <w:rFonts w:hAnsi="宋体"/>
          <w:sz w:val="18"/>
          <w:szCs w:val="18"/>
        </w:rPr>
      </w:pPr>
    </w:p>
    <w:p>
      <w:pPr>
        <w:spacing w:line="360" w:lineRule="auto"/>
        <w:jc w:val="left"/>
        <w:rPr>
          <w:rFonts w:hint="eastAsia" w:ascii="宋体" w:hAnsi="宋体"/>
          <w:b/>
          <w:sz w:val="18"/>
          <w:szCs w:val="18"/>
        </w:rPr>
        <w:sectPr>
          <w:headerReference r:id="rId11" w:type="default"/>
          <w:footerReference r:id="rId12" w:type="default"/>
          <w:pgSz w:w="11906" w:h="16838"/>
          <w:pgMar w:top="1276" w:right="1800" w:bottom="1418" w:left="1800" w:header="567" w:footer="850" w:gutter="0"/>
          <w:pgNumType w:start="1"/>
          <w:cols w:space="425" w:num="1"/>
          <w:docGrid w:type="lines" w:linePitch="312" w:charSpace="0"/>
        </w:sectPr>
      </w:pPr>
    </w:p>
    <w:p>
      <w:pPr>
        <w:widowControl/>
        <w:spacing w:before="156"/>
        <w:jc w:val="center"/>
        <w:rPr>
          <w:rFonts w:hint="eastAsia" w:ascii="黑体" w:hAnsi="黑体" w:eastAsia="黑体"/>
          <w:b/>
          <w:sz w:val="28"/>
          <w:szCs w:val="28"/>
          <w:lang w:eastAsia="zh-CN"/>
        </w:rPr>
      </w:pPr>
      <w:r>
        <w:rPr>
          <w:rFonts w:hint="eastAsia" w:ascii="黑体" w:hAnsi="黑体" w:eastAsia="黑体"/>
          <w:b/>
          <w:sz w:val="28"/>
          <w:szCs w:val="28"/>
          <w:lang w:eastAsia="zh-CN"/>
        </w:rPr>
        <w:t>兴银理财【稳添利最短持有期日开固收类】理财产品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24"/>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15"/>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7598" w:type="dxa"/>
            <w:gridSpan w:val="6"/>
            <w:shd w:val="pct10" w:color="A5A5A5" w:themeColor="background1" w:themeShade="A6" w:fill="A5A5A5" w:themeFill="background1" w:themeFillShade="A6"/>
            <w:vAlign w:val="center"/>
          </w:tcPr>
          <w:p>
            <w:pPr>
              <w:pStyle w:val="15"/>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个人投资者适用</w:t>
            </w: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姓名</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电子邮箱</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
                <w:bCs/>
                <w:sz w:val="18"/>
                <w:szCs w:val="18"/>
              </w:rPr>
            </w:pPr>
            <w:r>
              <w:rPr>
                <w:rFonts w:hint="eastAsia" w:ascii="宋体" w:hAnsi="宋体"/>
                <w:b/>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pStyle w:val="15"/>
              <w:pBdr>
                <w:bottom w:val="none" w:color="auto" w:sz="0" w:space="0"/>
              </w:pBdr>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机构名称</w:t>
            </w:r>
          </w:p>
        </w:tc>
        <w:tc>
          <w:tcPr>
            <w:tcW w:w="5061" w:type="dxa"/>
            <w:gridSpan w:val="3"/>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机构简介</w:t>
            </w:r>
          </w:p>
        </w:tc>
        <w:tc>
          <w:tcPr>
            <w:tcW w:w="5061" w:type="dxa"/>
            <w:gridSpan w:val="3"/>
            <w:shd w:val="solid" w:color="FFFFFF" w:fill="FFFFFF"/>
            <w:vAlign w:val="center"/>
          </w:tcPr>
          <w:p>
            <w:pPr>
              <w:pStyle w:val="43"/>
              <w:jc w:val="both"/>
              <w:rPr>
                <w:rFonts w:hAnsi="宋体"/>
                <w:bCs/>
                <w:sz w:val="18"/>
                <w:szCs w:val="18"/>
              </w:rPr>
            </w:pP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shd w:val="solid" w:color="FFFFFF" w:fill="FFFFFF"/>
            <w:vAlign w:val="center"/>
          </w:tcPr>
          <w:p>
            <w:pPr>
              <w:pStyle w:val="1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1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r>
              <w:rPr>
                <w:rFonts w:ascii="宋体" w:hAnsi="宋体"/>
                <w:u w:val="single"/>
              </w:rPr>
              <w:t xml:space="preserve">　                     </w:t>
            </w:r>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1"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w:t>
      </w:r>
      <w:r>
        <w:rPr>
          <w:rFonts w:ascii="宋体" w:hAnsi="宋体" w:cs="仿宋_GB2312"/>
          <w:kern w:val="0"/>
          <w:sz w:val="18"/>
          <w:szCs w:val="18"/>
        </w:rPr>
        <w:t>乙方销售性质</w:t>
      </w:r>
    </w:p>
    <w:p>
      <w:pPr>
        <w:widowControl/>
        <w:spacing w:line="360" w:lineRule="auto"/>
        <w:jc w:val="left"/>
        <w:rPr>
          <w:rFonts w:ascii="宋体" w:hAnsi="宋体" w:cs="仿宋_GB2312"/>
          <w:kern w:val="0"/>
          <w:sz w:val="18"/>
          <w:szCs w:val="18"/>
        </w:rPr>
      </w:pPr>
      <w:r>
        <w:rPr>
          <w:rFonts w:hint="eastAsia" w:asciiTheme="majorEastAsia" w:hAnsiTheme="majorEastAsia" w:eastAsiaTheme="majorEastAsia"/>
          <w:bCs/>
          <w:sz w:val="18"/>
          <w:szCs w:val="18"/>
        </w:rPr>
        <w:t xml:space="preserve">□ </w:t>
      </w:r>
      <w:r>
        <w:rPr>
          <w:rFonts w:hint="eastAsia" w:ascii="宋体" w:hAnsi="宋体" w:cs="仿宋_GB2312"/>
          <w:kern w:val="0"/>
          <w:sz w:val="18"/>
          <w:szCs w:val="18"/>
        </w:rPr>
        <w:t>直销适用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为乙方所发行的理财产品，乙方既作为理财产品的销售机构，又是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Theme="majorEastAsia" w:hAnsiTheme="majorEastAsia" w:eastAsiaTheme="majorEastAsia"/>
          <w:bCs/>
          <w:sz w:val="18"/>
          <w:szCs w:val="18"/>
        </w:rPr>
        <w:t xml:space="preserve">□ </w:t>
      </w:r>
      <w:r>
        <w:rPr>
          <w:rFonts w:hint="eastAsia" w:ascii="宋体" w:hAnsi="宋体" w:cs="仿宋_GB2312"/>
          <w:kern w:val="0"/>
          <w:sz w:val="18"/>
          <w:szCs w:val="18"/>
        </w:rPr>
        <w:t>代销适用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将理财产品分为【】个风险等级</w:t>
      </w:r>
      <w:r>
        <w:rPr>
          <w:rFonts w:ascii="宋体" w:hAnsi="宋体" w:cs="仿宋_GB2312"/>
          <w:kern w:val="0"/>
          <w:sz w:val="18"/>
          <w:szCs w:val="18"/>
        </w:rPr>
        <w:t>：</w:t>
      </w:r>
      <w:r>
        <w:rPr>
          <w:rFonts w:hint="eastAsia" w:ascii="宋体" w:hAnsi="宋体" w:cs="仿宋_GB2312"/>
          <w:kern w:val="0"/>
          <w:sz w:val="18"/>
          <w:szCs w:val="18"/>
        </w:rPr>
        <w:t xml:space="preserve">【 </w:t>
      </w:r>
      <w:r>
        <w:rPr>
          <w:rFonts w:ascii="宋体" w:hAnsi="宋体" w:cs="仿宋_GB2312"/>
          <w:kern w:val="0"/>
          <w:sz w:val="18"/>
          <w:szCs w:val="18"/>
        </w:rPr>
        <w:t xml:space="preserve">                                   </w:t>
      </w:r>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w:t>
      </w:r>
      <w:r>
        <w:rPr>
          <w:rFonts w:hint="eastAsia" w:ascii="宋体" w:hAnsi="宋体" w:cs="仿宋_GB2312"/>
          <w:kern w:val="0"/>
          <w:sz w:val="18"/>
          <w:szCs w:val="18"/>
        </w:rPr>
        <w:t>【】</w:t>
      </w:r>
      <w:r>
        <w:rPr>
          <w:rFonts w:ascii="宋体" w:hAnsi="宋体" w:cs="仿宋_GB2312"/>
          <w:kern w:val="0"/>
          <w:sz w:val="18"/>
          <w:szCs w:val="18"/>
        </w:rPr>
        <w:t>个</w:t>
      </w:r>
      <w:r>
        <w:rPr>
          <w:rFonts w:hint="eastAsia" w:ascii="宋体" w:hAnsi="宋体" w:cs="仿宋_GB2312"/>
          <w:kern w:val="0"/>
          <w:sz w:val="18"/>
          <w:szCs w:val="18"/>
        </w:rPr>
        <w:t xml:space="preserve">等级：【 </w:t>
      </w:r>
      <w:r>
        <w:rPr>
          <w:rFonts w:ascii="宋体" w:hAnsi="宋体" w:cs="仿宋_GB2312"/>
          <w:kern w:val="0"/>
          <w:sz w:val="18"/>
          <w:szCs w:val="18"/>
        </w:rPr>
        <w:t xml:space="preserve">                                </w:t>
      </w:r>
      <w:r>
        <w:rPr>
          <w:rFonts w:hint="eastAsia" w:ascii="宋体" w:hAnsi="宋体" w:cs="仿宋_GB2312"/>
          <w:kern w:val="0"/>
          <w:sz w:val="18"/>
          <w:szCs w:val="18"/>
        </w:rPr>
        <w:t>】。</w:t>
      </w:r>
    </w:p>
    <w:p>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43"/>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甲方应根据风险承受能力评估结果选择与其风险承受能力相匹配的风险等级的理财产品，不得购买高于甲方风险承受能力的理财产品。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5、甲方保证投资资金来源合法且为本人有权</w:t>
      </w:r>
      <w:r>
        <w:rPr>
          <w:rFonts w:ascii="宋体" w:hAnsi="宋体" w:cs="仿宋_GB2312"/>
          <w:kern w:val="0"/>
          <w:sz w:val="18"/>
          <w:szCs w:val="18"/>
        </w:rPr>
        <w:t>处分的合法</w:t>
      </w:r>
      <w:r>
        <w:rPr>
          <w:rFonts w:hint="eastAsia" w:ascii="宋体" w:hAnsi="宋体" w:cs="仿宋_GB2312"/>
          <w:kern w:val="0"/>
          <w:sz w:val="18"/>
          <w:szCs w:val="18"/>
        </w:rPr>
        <w:t>资金，不存在使用贷款、发行债券等筹集的非自有资金投资的情况，投资行为符合法律法规及相关监管部门的规定。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9、甲方在此同意并授权乙方有权根据甲方所勾选的业务申请类型对甲方相关资金账户进行资金划扣等相关操作。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11、甲方在此确认乙方业务</w:t>
      </w:r>
      <w:r>
        <w:rPr>
          <w:rFonts w:ascii="宋体" w:hAnsi="宋体" w:cs="仿宋_GB2312"/>
          <w:kern w:val="0"/>
          <w:sz w:val="18"/>
          <w:szCs w:val="18"/>
        </w:rPr>
        <w:t>申请和办理</w:t>
      </w:r>
      <w:r>
        <w:rPr>
          <w:rFonts w:hint="eastAsia" w:ascii="宋体" w:hAnsi="宋体" w:cs="仿宋_GB2312"/>
          <w:kern w:val="0"/>
          <w:sz w:val="18"/>
          <w:szCs w:val="18"/>
        </w:rPr>
        <w:t>的系统记录以及录音、录像等</w:t>
      </w:r>
      <w:r>
        <w:rPr>
          <w:rFonts w:ascii="宋体" w:hAnsi="宋体" w:cs="仿宋_GB2312"/>
          <w:kern w:val="0"/>
          <w:sz w:val="18"/>
          <w:szCs w:val="18"/>
        </w:rPr>
        <w:t>信息</w:t>
      </w:r>
      <w:r>
        <w:rPr>
          <w:rFonts w:hint="eastAsia" w:ascii="宋体" w:hAnsi="宋体" w:cs="仿宋_GB2312"/>
          <w:kern w:val="0"/>
          <w:sz w:val="18"/>
          <w:szCs w:val="18"/>
        </w:rPr>
        <w:t>构成对甲方操作行为（包括但不限于认购</w:t>
      </w:r>
      <w:r>
        <w:rPr>
          <w:rFonts w:ascii="宋体" w:hAnsi="宋体" w:cs="仿宋_GB2312"/>
          <w:kern w:val="0"/>
          <w:sz w:val="18"/>
          <w:szCs w:val="18"/>
        </w:rPr>
        <w:t>、申购</w:t>
      </w:r>
      <w:r>
        <w:rPr>
          <w:rFonts w:hint="eastAsia" w:ascii="宋体" w:hAnsi="宋体" w:cs="仿宋_GB2312"/>
          <w:kern w:val="0"/>
          <w:sz w:val="18"/>
          <w:szCs w:val="18"/>
        </w:rPr>
        <w:t>、赎回）的终局证据，甲方同意乙方上述记录行为，并且在甲方和乙方或产品</w:t>
      </w:r>
      <w:r>
        <w:rPr>
          <w:rFonts w:ascii="宋体" w:hAnsi="宋体" w:cs="仿宋_GB2312"/>
          <w:kern w:val="0"/>
          <w:sz w:val="18"/>
          <w:szCs w:val="18"/>
        </w:rPr>
        <w:t>管理人</w:t>
      </w:r>
      <w:r>
        <w:rPr>
          <w:rFonts w:hint="eastAsia" w:ascii="宋体" w:hAnsi="宋体" w:cs="仿宋_GB2312"/>
          <w:kern w:val="0"/>
          <w:sz w:val="18"/>
          <w:szCs w:val="18"/>
        </w:rPr>
        <w:t>发生争议时可以作为合法有效的证据使用。</w:t>
      </w:r>
      <w:r>
        <w:rPr>
          <w:rFonts w:hint="eastAsia" w:ascii="黑体" w:hAnsi="黑体" w:eastAsia="黑体" w:cs="仿宋_GB2312"/>
          <w:kern w:val="0"/>
          <w:sz w:val="18"/>
          <w:szCs w:val="18"/>
        </w:rPr>
        <w:t>甲方同意并授权乙方采取有效措施和技术手段记录营销推介、产品风险和关键信息提示、投资者确认和反馈等重点销售环节。</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1、由于国家有关法律、法规、规章、政策的改变、紧急措施的出台而导致甲方蒙受损失或协议终止的，乙方不承担责任。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2、由于不可抗力或乙方无过错且无法防止的外因而导致的交易中断、延误等风险及损失，乙方不承担责任。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3、非因乙方原因（包括但不限于甲方遗失本协议、协议被盗用、交易账户被司法机关等有权部门冻结、扣划等原因）造成的损失，乙方不承担责任。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hint="eastAsia" w:ascii="宋体" w:hAnsi="宋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kern w:val="0"/>
          <w:sz w:val="18"/>
          <w:szCs w:val="18"/>
        </w:rPr>
      </w:pP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w:t>
      </w:r>
      <w:r>
        <w:rPr>
          <w:rFonts w:hint="eastAsia" w:ascii="宋体" w:hAnsi="宋体" w:cs="仿宋_GB2312"/>
          <w:b/>
          <w:kern w:val="0"/>
          <w:sz w:val="18"/>
          <w:szCs w:val="18"/>
        </w:rPr>
        <w:t>乙方销售的理财产品的《投资</w:t>
      </w:r>
      <w:r>
        <w:rPr>
          <w:rFonts w:ascii="宋体" w:hAnsi="宋体" w:cs="仿宋_GB2312"/>
          <w:b/>
          <w:kern w:val="0"/>
          <w:sz w:val="18"/>
          <w:szCs w:val="18"/>
        </w:rPr>
        <w:t>协议书</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产品说明书</w:t>
      </w:r>
      <w:r>
        <w:rPr>
          <w:rFonts w:ascii="宋体" w:hAnsi="宋体" w:cs="仿宋_GB2312"/>
          <w:b/>
          <w:kern w:val="0"/>
          <w:sz w:val="18"/>
          <w:szCs w:val="18"/>
        </w:rPr>
        <w:t>》</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（代理）销售协议书</w:t>
      </w:r>
      <w:r>
        <w:rPr>
          <w:rFonts w:ascii="宋体" w:hAnsi="宋体" w:cs="仿宋_GB2312"/>
          <w:b/>
          <w:kern w:val="0"/>
          <w:sz w:val="18"/>
          <w:szCs w:val="18"/>
        </w:rPr>
        <w:t>》</w:t>
      </w:r>
      <w:r>
        <w:rPr>
          <w:rFonts w:hint="eastAsia" w:ascii="宋体" w:hAnsi="宋体" w:cs="仿宋_GB2312"/>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spacing w:line="360" w:lineRule="auto"/>
        <w:ind w:firstLine="361" w:firstLineChars="200"/>
        <w:jc w:val="left"/>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3"/>
            <w:vAlign w:val="center"/>
          </w:tcPr>
          <w:p>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5" w:hRule="exact"/>
        </w:trPr>
        <w:tc>
          <w:tcPr>
            <w:tcW w:w="675" w:type="dxa"/>
            <w:vMerge w:val="restart"/>
            <w:vAlign w:val="center"/>
          </w:tcPr>
          <w:p>
            <w:pPr>
              <w:jc w:val="center"/>
              <w:rPr>
                <w:b/>
                <w:kern w:val="0"/>
                <w:sz w:val="18"/>
                <w:szCs w:val="18"/>
              </w:rPr>
            </w:pPr>
            <w:r>
              <w:rPr>
                <w:rFonts w:hint="eastAsia"/>
                <w:b/>
                <w:kern w:val="0"/>
                <w:sz w:val="18"/>
                <w:szCs w:val="18"/>
              </w:rPr>
              <w:t>甲方签署栏</w:t>
            </w:r>
          </w:p>
        </w:tc>
        <w:tc>
          <w:tcPr>
            <w:tcW w:w="851" w:type="dxa"/>
          </w:tcPr>
          <w:p>
            <w:pPr>
              <w:rPr>
                <w:b/>
                <w:kern w:val="0"/>
                <w:sz w:val="18"/>
                <w:szCs w:val="18"/>
              </w:rPr>
            </w:pPr>
            <w:r>
              <w:rPr>
                <w:rFonts w:hint="eastAsia"/>
                <w:b/>
                <w:kern w:val="0"/>
                <w:sz w:val="18"/>
                <w:szCs w:val="18"/>
              </w:rPr>
              <w:t>个人投资者适用</w:t>
            </w:r>
          </w:p>
        </w:tc>
        <w:tc>
          <w:tcPr>
            <w:tcW w:w="6998" w:type="dxa"/>
          </w:tcPr>
          <w:p>
            <w:pPr>
              <w:rPr>
                <w:kern w:val="0"/>
                <w:sz w:val="18"/>
                <w:szCs w:val="18"/>
              </w:rPr>
            </w:pPr>
            <w:r>
              <w:rPr>
                <w:rFonts w:hint="eastAsia"/>
                <w:kern w:val="0"/>
                <w:sz w:val="18"/>
                <w:szCs w:val="18"/>
              </w:rPr>
              <w:t>甲方（签字）：</w:t>
            </w:r>
          </w:p>
          <w:p>
            <w:pPr>
              <w:rPr>
                <w:b/>
                <w:kern w:val="0"/>
                <w:sz w:val="18"/>
                <w:szCs w:val="18"/>
              </w:rPr>
            </w:pPr>
          </w:p>
          <w:p>
            <w:pPr>
              <w:rPr>
                <w:b/>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56" w:hRule="atLeast"/>
        </w:trPr>
        <w:tc>
          <w:tcPr>
            <w:tcW w:w="675" w:type="dxa"/>
            <w:vMerge w:val="continue"/>
          </w:tcPr>
          <w:p>
            <w:pPr>
              <w:rPr>
                <w:b/>
                <w:kern w:val="0"/>
                <w:sz w:val="18"/>
                <w:szCs w:val="18"/>
              </w:rPr>
            </w:pPr>
          </w:p>
        </w:tc>
        <w:tc>
          <w:tcPr>
            <w:tcW w:w="851" w:type="dxa"/>
          </w:tcPr>
          <w:p>
            <w:pPr>
              <w:rPr>
                <w:b/>
                <w:kern w:val="0"/>
                <w:sz w:val="18"/>
                <w:szCs w:val="18"/>
              </w:rPr>
            </w:pPr>
            <w:r>
              <w:rPr>
                <w:rFonts w:hint="eastAsia"/>
                <w:b/>
                <w:kern w:val="0"/>
                <w:sz w:val="18"/>
                <w:szCs w:val="18"/>
              </w:rPr>
              <w:t>机构投资者适用</w:t>
            </w:r>
          </w:p>
        </w:tc>
        <w:tc>
          <w:tcPr>
            <w:tcW w:w="6998" w:type="dxa"/>
          </w:tcPr>
          <w:p>
            <w:pPr>
              <w:rPr>
                <w:rFonts w:cs="Arial"/>
                <w:kern w:val="0"/>
                <w:sz w:val="18"/>
                <w:szCs w:val="18"/>
              </w:rPr>
            </w:pPr>
            <w:r>
              <w:rPr>
                <w:rFonts w:hint="eastAsia"/>
                <w:kern w:val="0"/>
                <w:sz w:val="18"/>
                <w:szCs w:val="18"/>
              </w:rPr>
              <w:t>甲方</w:t>
            </w:r>
            <w:r>
              <w:rPr>
                <w:rFonts w:hint="eastAsia" w:cs="Arial"/>
                <w:kern w:val="0"/>
                <w:sz w:val="18"/>
                <w:szCs w:val="18"/>
              </w:rPr>
              <w:t>（盖章）：</w:t>
            </w:r>
          </w:p>
          <w:p>
            <w:pPr>
              <w:rPr>
                <w:rFonts w:cs="Arial"/>
                <w:kern w:val="0"/>
                <w:sz w:val="18"/>
                <w:szCs w:val="18"/>
              </w:rPr>
            </w:pPr>
          </w:p>
          <w:p>
            <w:pPr>
              <w:rPr>
                <w:rFonts w:cs="Arial"/>
                <w:kern w:val="0"/>
                <w:sz w:val="18"/>
                <w:szCs w:val="18"/>
              </w:rPr>
            </w:pPr>
            <w:r>
              <w:rPr>
                <w:rFonts w:hint="eastAsia" w:cs="Arial"/>
                <w:kern w:val="0"/>
                <w:sz w:val="18"/>
                <w:szCs w:val="18"/>
              </w:rPr>
              <w:t>甲方法定代表人或授权代理人（签字或盖章）：</w:t>
            </w:r>
          </w:p>
          <w:p>
            <w:pPr>
              <w:rPr>
                <w:b/>
                <w:kern w:val="0"/>
                <w:sz w:val="18"/>
                <w:szCs w:val="18"/>
              </w:rPr>
            </w:pPr>
          </w:p>
          <w:p>
            <w:pPr>
              <w:rPr>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3" w:hRule="atLeast"/>
        </w:trPr>
        <w:tc>
          <w:tcPr>
            <w:tcW w:w="675" w:type="dxa"/>
          </w:tcPr>
          <w:p>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rPr>
                <w:b/>
                <w:kern w:val="0"/>
                <w:sz w:val="18"/>
                <w:szCs w:val="18"/>
              </w:rPr>
            </w:pPr>
          </w:p>
          <w:p>
            <w:pPr>
              <w:rPr>
                <w:kern w:val="0"/>
                <w:sz w:val="18"/>
                <w:szCs w:val="18"/>
              </w:rPr>
            </w:pPr>
            <w:r>
              <w:rPr>
                <w:rFonts w:hint="eastAsia"/>
                <w:kern w:val="0"/>
                <w:sz w:val="18"/>
                <w:szCs w:val="18"/>
              </w:rPr>
              <w:t>日期：</w:t>
            </w:r>
          </w:p>
        </w:tc>
      </w:tr>
    </w:tbl>
    <w:p>
      <w:pPr>
        <w:spacing w:line="360" w:lineRule="auto"/>
        <w:jc w:val="left"/>
        <w:rPr>
          <w:rFonts w:hint="eastAsia" w:ascii="宋体" w:hAnsi="宋体"/>
          <w:b/>
          <w:sz w:val="18"/>
          <w:szCs w:val="18"/>
        </w:rPr>
        <w:sectPr>
          <w:headerReference r:id="rId13" w:type="default"/>
          <w:footerReference r:id="rId14" w:type="default"/>
          <w:pgSz w:w="11906" w:h="16838"/>
          <w:pgMar w:top="1440" w:right="1800" w:bottom="1440" w:left="1800" w:header="851" w:footer="992" w:gutter="0"/>
          <w:cols w:space="425" w:num="1"/>
          <w:docGrid w:type="lines" w:linePitch="312" w:charSpace="0"/>
        </w:sect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兴银理财【稳添利最短持有期日开固收类】理财产品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w:t>
      </w:r>
      <w:r>
        <w:rPr>
          <w:rFonts w:ascii="宋体" w:hAnsi="宋体" w:cs="仿宋_GB2312"/>
          <w:kern w:val="0"/>
          <w:sz w:val="18"/>
          <w:szCs w:val="18"/>
        </w:rPr>
        <w:t>销售名称及产品登记编码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r>
        <w:rPr>
          <w:rFonts w:hint="eastAsia" w:ascii="宋体" w:hAnsi="宋体" w:cs="仿宋_GB2312"/>
          <w:kern w:val="0"/>
          <w:sz w:val="18"/>
          <w:szCs w:val="18"/>
        </w:rPr>
        <w:t>【</w:t>
      </w:r>
      <w:r>
        <w:rPr>
          <w:rFonts w:hint="eastAsia" w:ascii="宋体" w:hAnsi="宋体"/>
          <w:sz w:val="18"/>
          <w:szCs w:val="18"/>
        </w:rPr>
        <w:t>兴银理财稳添利双月盈1号(2个月最短持有期)日开固收类理财产品</w:t>
      </w:r>
      <w:r>
        <w:rPr>
          <w:rFonts w:hint="eastAsia" w:ascii="宋体" w:hAnsi="宋体" w:cs="仿宋_GB2312"/>
          <w:kern w:val="0"/>
          <w:sz w:val="18"/>
          <w:szCs w:val="18"/>
        </w:rPr>
        <w:t>】。</w:t>
      </w:r>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
    <w:p>
      <w:pPr>
        <w:ind w:firstLine="448" w:firstLineChars="249"/>
        <w:rPr>
          <w:rFonts w:ascii="宋体" w:hAnsi="宋体" w:cs="仿宋_GB2312"/>
          <w:kern w:val="0"/>
          <w:sz w:val="18"/>
          <w:szCs w:val="18"/>
        </w:rPr>
      </w:pPr>
      <w:r>
        <w:rPr>
          <w:rFonts w:hint="eastAsia" w:ascii="宋体" w:hAnsi="宋体" w:cs="仿宋_GB2312"/>
          <w:kern w:val="0"/>
          <w:sz w:val="18"/>
          <w:szCs w:val="18"/>
        </w:rPr>
        <w:t>兴银稳添利双月盈1号A（适用【A】类份额）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兴银稳添利双月盈1号B（适用【B】类份额）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兴银稳添利双月盈1号C（适用【C】类份额）</w:t>
      </w:r>
    </w:p>
    <w:p>
      <w:pPr>
        <w:ind w:firstLine="448" w:firstLineChars="249"/>
        <w:rPr>
          <w:rFonts w:hint="eastAsia" w:ascii="宋体" w:hAnsi="宋体" w:cs="仿宋_GB2312"/>
          <w:kern w:val="0"/>
          <w:sz w:val="18"/>
          <w:szCs w:val="18"/>
        </w:rPr>
      </w:pPr>
      <w:r>
        <w:rPr>
          <w:rFonts w:hint="eastAsia" w:ascii="宋体" w:hAnsi="宋体" w:cs="仿宋_GB2312"/>
          <w:kern w:val="0"/>
          <w:sz w:val="18"/>
          <w:szCs w:val="18"/>
        </w:rPr>
        <w:t>兴银稳添利双月盈1号</w:t>
      </w:r>
      <w:r>
        <w:rPr>
          <w:rFonts w:ascii="宋体" w:hAnsi="宋体" w:cs="仿宋_GB2312"/>
          <w:kern w:val="0"/>
          <w:sz w:val="18"/>
          <w:szCs w:val="18"/>
        </w:rPr>
        <w:t>D</w:t>
      </w:r>
      <w:r>
        <w:rPr>
          <w:rFonts w:hint="eastAsia" w:ascii="宋体" w:hAnsi="宋体" w:cs="仿宋_GB2312"/>
          <w:kern w:val="0"/>
          <w:sz w:val="18"/>
          <w:szCs w:val="18"/>
        </w:rPr>
        <w:t>（适用【</w:t>
      </w:r>
      <w:r>
        <w:rPr>
          <w:rFonts w:ascii="宋体" w:hAnsi="宋体" w:cs="仿宋_GB2312"/>
          <w:kern w:val="0"/>
          <w:sz w:val="18"/>
          <w:szCs w:val="18"/>
        </w:rPr>
        <w:t>D</w:t>
      </w:r>
      <w:r>
        <w:rPr>
          <w:rFonts w:hint="eastAsia" w:ascii="宋体" w:hAnsi="宋体" w:cs="仿宋_GB2312"/>
          <w:kern w:val="0"/>
          <w:sz w:val="18"/>
          <w:szCs w:val="18"/>
        </w:rPr>
        <w:t>】类份额）</w:t>
      </w:r>
    </w:p>
    <w:p>
      <w:pPr>
        <w:ind w:firstLine="448" w:firstLineChars="249"/>
        <w:rPr>
          <w:rFonts w:ascii="宋体" w:hAnsi="宋体" w:cs="仿宋_GB2312"/>
          <w:kern w:val="0"/>
          <w:sz w:val="18"/>
          <w:szCs w:val="18"/>
        </w:rPr>
      </w:pPr>
      <w:r>
        <w:rPr>
          <w:rFonts w:ascii="宋体" w:hAnsi="宋体" w:cs="仿宋_GB2312"/>
          <w:kern w:val="0"/>
          <w:sz w:val="18"/>
          <w:szCs w:val="18"/>
        </w:rPr>
        <w:t>产品登记编码</w:t>
      </w:r>
      <w:r>
        <w:rPr>
          <w:rFonts w:hint="eastAsia" w:ascii="宋体" w:hAnsi="宋体" w:cs="仿宋_GB2312"/>
          <w:kern w:val="0"/>
          <w:sz w:val="18"/>
          <w:szCs w:val="18"/>
        </w:rPr>
        <w:t>：【</w:t>
      </w:r>
      <w:r>
        <w:rPr>
          <w:rFonts w:ascii="宋体" w:hAnsi="宋体"/>
          <w:sz w:val="18"/>
          <w:szCs w:val="18"/>
        </w:rPr>
        <w:t>Z7002022000135</w:t>
      </w:r>
      <w:r>
        <w:rPr>
          <w:rFonts w:hint="eastAsia" w:ascii="宋体" w:hAnsi="宋体" w:cs="仿宋_GB2312"/>
          <w:kern w:val="0"/>
          <w:sz w:val="18"/>
          <w:szCs w:val="18"/>
        </w:rPr>
        <w:t>】。</w:t>
      </w:r>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538" w:firstLineChars="299"/>
        <w:rPr>
          <w:rFonts w:ascii="宋体" w:hAnsi="宋体" w:cs="仿宋_GB2312"/>
          <w:kern w:val="0"/>
          <w:sz w:val="18"/>
          <w:szCs w:val="18"/>
        </w:rPr>
      </w:pPr>
      <w:r>
        <w:rPr>
          <w:rFonts w:hint="eastAsia" w:ascii="宋体" w:hAnsi="宋体" w:cs="仿宋_GB2312"/>
          <w:kern w:val="0"/>
          <w:sz w:val="18"/>
          <w:szCs w:val="18"/>
        </w:rPr>
        <w:t>公募、开放式、【固定收益类】、非保本浮动</w:t>
      </w:r>
      <w:r>
        <w:rPr>
          <w:rFonts w:ascii="宋体" w:hAnsi="宋体" w:cs="仿宋_GB2312"/>
          <w:kern w:val="0"/>
          <w:sz w:val="18"/>
          <w:szCs w:val="18"/>
        </w:rPr>
        <w:t>收益</w:t>
      </w:r>
      <w:r>
        <w:rPr>
          <w:rFonts w:hint="eastAsia" w:ascii="宋体" w:hAnsi="宋体" w:cs="仿宋_GB2312"/>
          <w:kern w:val="0"/>
          <w:sz w:val="18"/>
          <w:szCs w:val="18"/>
        </w:rPr>
        <w:t>、净值型理财产品。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宋体" w:hAnsi="宋体" w:cs="仿宋_GB2312"/>
          <w:kern w:val="0"/>
          <w:sz w:val="18"/>
          <w:szCs w:val="18"/>
        </w:rPr>
      </w:pPr>
      <w:r>
        <w:rPr>
          <w:rFonts w:hint="eastAsia" w:ascii="宋体" w:hAnsi="宋体" w:cs="仿宋_GB2312"/>
          <w:kern w:val="0"/>
          <w:sz w:val="18"/>
          <w:szCs w:val="18"/>
        </w:rPr>
        <w:t>【无固定</w:t>
      </w:r>
      <w:r>
        <w:rPr>
          <w:rFonts w:ascii="宋体" w:hAnsi="宋体" w:cs="仿宋_GB2312"/>
          <w:kern w:val="0"/>
          <w:sz w:val="18"/>
          <w:szCs w:val="18"/>
        </w:rPr>
        <w:t>期限</w:t>
      </w:r>
      <w:r>
        <w:rPr>
          <w:rFonts w:hint="eastAsia" w:ascii="宋体" w:hAnsi="宋体" w:cs="仿宋_GB2312"/>
          <w:kern w:val="0"/>
          <w:sz w:val="18"/>
          <w:szCs w:val="18"/>
        </w:rPr>
        <w:t>】</w:t>
      </w:r>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本理财产品风险评级最终定义为【R2</w:t>
      </w:r>
      <w:r>
        <w:rPr>
          <w:rFonts w:ascii="宋体" w:hAnsi="宋体" w:cs="仿宋_GB2312"/>
          <w:kern w:val="0"/>
          <w:sz w:val="18"/>
          <w:szCs w:val="18"/>
        </w:rPr>
        <w:t>】</w:t>
      </w:r>
      <w:r>
        <w:rPr>
          <w:rFonts w:hint="eastAsia" w:ascii="宋体" w:hAnsi="宋体" w:cs="仿宋_GB2312"/>
          <w:kern w:val="0"/>
          <w:sz w:val="18"/>
          <w:szCs w:val="18"/>
        </w:rPr>
        <w:t>（产品管理人定义的产品风险评级为【R2</w:t>
      </w:r>
      <w:r>
        <w:rPr>
          <w:rFonts w:ascii="宋体" w:hAnsi="宋体" w:cs="仿宋_GB2312"/>
          <w:kern w:val="0"/>
          <w:sz w:val="18"/>
          <w:szCs w:val="18"/>
        </w:rPr>
        <w:t>】</w:t>
      </w:r>
      <w:r>
        <w:rPr>
          <w:rFonts w:hint="eastAsia" w:ascii="宋体" w:hAnsi="宋体" w:cs="仿宋_GB2312"/>
          <w:kern w:val="0"/>
          <w:sz w:val="18"/>
          <w:szCs w:val="18"/>
        </w:rPr>
        <w:t>；代理销售机构定义的产品风险评级为【R2】）。</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rPr>
        <w:t>销售机构认为本产品适合以下投资者类型：</w:t>
      </w:r>
    </w:p>
    <w:p>
      <w:pPr>
        <w:ind w:firstLine="360" w:firstLineChars="200"/>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color w:val="000000" w:themeColor="text1"/>
          <w:sz w:val="18"/>
          <w:szCs w:val="18"/>
        </w:rPr>
        <w:t>个人投资者</w:t>
      </w:r>
      <w:r>
        <w:rPr>
          <w:rFonts w:asciiTheme="majorEastAsia" w:hAnsiTheme="majorEastAsia" w:eastAsiaTheme="majorEastAsia"/>
          <w:bCs/>
          <w:color w:val="000000" w:themeColor="text1"/>
          <w:sz w:val="18"/>
          <w:szCs w:val="18"/>
        </w:rPr>
        <w:t>：</w:t>
      </w:r>
      <w:r>
        <w:rPr>
          <w:rFonts w:hint="eastAsia" w:asciiTheme="majorEastAsia" w:hAnsiTheme="majorEastAsia" w:eastAsiaTheme="majorEastAsia"/>
          <w:bCs/>
          <w:color w:val="000000" w:themeColor="text1"/>
          <w:sz w:val="18"/>
          <w:szCs w:val="18"/>
        </w:rPr>
        <w:t>【□</w:t>
      </w:r>
      <w:r>
        <w:rPr>
          <w:rFonts w:asciiTheme="majorEastAsia" w:hAnsiTheme="majorEastAsia" w:eastAsiaTheme="majorEastAsia"/>
          <w:bCs/>
          <w:color w:val="000000" w:themeColor="text1"/>
          <w:sz w:val="18"/>
          <w:szCs w:val="18"/>
        </w:rPr>
        <w:t xml:space="preserve"> C1、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asciiTheme="majorEastAsia" w:hAnsiTheme="majorEastAsia" w:eastAsiaTheme="majorEastAsia"/>
          <w:bCs/>
          <w:color w:val="000000" w:themeColor="text1"/>
          <w:sz w:val="18"/>
          <w:szCs w:val="18"/>
        </w:rPr>
        <w:t>C2、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asciiTheme="majorEastAsia" w:hAnsiTheme="majorEastAsia" w:eastAsiaTheme="majorEastAsia"/>
          <w:bCs/>
          <w:color w:val="000000" w:themeColor="text1"/>
          <w:sz w:val="18"/>
          <w:szCs w:val="18"/>
        </w:rPr>
        <w:t>C3、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asciiTheme="majorEastAsia" w:hAnsiTheme="majorEastAsia" w:eastAsiaTheme="majorEastAsia"/>
          <w:bCs/>
          <w:color w:val="000000" w:themeColor="text1"/>
          <w:sz w:val="18"/>
          <w:szCs w:val="18"/>
        </w:rPr>
        <w:t>C4、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asciiTheme="majorEastAsia" w:hAnsiTheme="majorEastAsia" w:eastAsiaTheme="majorEastAsia"/>
          <w:bCs/>
          <w:color w:val="000000" w:themeColor="text1"/>
          <w:sz w:val="18"/>
          <w:szCs w:val="18"/>
        </w:rPr>
        <w:t>C5</w:t>
      </w:r>
      <w:r>
        <w:rPr>
          <w:rFonts w:hint="eastAsia" w:asciiTheme="majorEastAsia" w:hAnsiTheme="majorEastAsia" w:eastAsiaTheme="majorEastAsia"/>
          <w:bCs/>
          <w:color w:val="000000" w:themeColor="text1"/>
          <w:sz w:val="18"/>
          <w:szCs w:val="18"/>
        </w:rPr>
        <w:t>、</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C6</w:t>
      </w:r>
      <w:r>
        <w:rPr>
          <w:rFonts w:asciiTheme="majorEastAsia" w:hAnsiTheme="majorEastAsia" w:eastAsiaTheme="majorEastAsia"/>
          <w:bCs/>
          <w:color w:val="000000" w:themeColor="text1"/>
          <w:sz w:val="18"/>
          <w:szCs w:val="18"/>
        </w:rPr>
        <w:t>】</w:t>
      </w:r>
      <w:r>
        <w:rPr>
          <w:rFonts w:hint="eastAsia" w:asciiTheme="majorEastAsia" w:hAnsiTheme="majorEastAsia" w:eastAsiaTheme="majorEastAsia"/>
          <w:bCs/>
          <w:color w:val="000000" w:themeColor="text1"/>
          <w:sz w:val="18"/>
          <w:szCs w:val="18"/>
        </w:rPr>
        <w:t>。</w:t>
      </w:r>
    </w:p>
    <w:p>
      <w:pPr>
        <w:ind w:firstLine="360" w:firstLineChars="200"/>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□机构投资者：□一般</w:t>
      </w:r>
      <w:r>
        <w:rPr>
          <w:rFonts w:asciiTheme="majorEastAsia" w:hAnsiTheme="majorEastAsia" w:eastAsiaTheme="majorEastAsia"/>
          <w:bCs/>
          <w:color w:val="000000" w:themeColor="text1"/>
          <w:sz w:val="18"/>
          <w:szCs w:val="18"/>
        </w:rPr>
        <w:t>机构</w:t>
      </w:r>
      <w:r>
        <w:rPr>
          <w:rFonts w:hint="eastAsia" w:asciiTheme="majorEastAsia" w:hAnsiTheme="majorEastAsia" w:eastAsiaTheme="majorEastAsia"/>
          <w:bCs/>
          <w:color w:val="000000" w:themeColor="text1"/>
          <w:sz w:val="18"/>
          <w:szCs w:val="18"/>
        </w:rPr>
        <w:t>客户【□</w:t>
      </w:r>
      <w:r>
        <w:rPr>
          <w:rFonts w:asciiTheme="majorEastAsia" w:hAnsiTheme="majorEastAsia" w:eastAsiaTheme="majorEastAsia"/>
          <w:bCs/>
          <w:color w:val="000000" w:themeColor="text1"/>
          <w:sz w:val="18"/>
          <w:szCs w:val="18"/>
        </w:rPr>
        <w:t xml:space="preserve"> C1、</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C2、</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C3、</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C4、</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C5】</w:t>
      </w:r>
      <w:r>
        <w:rPr>
          <w:rFonts w:hint="eastAsia" w:asciiTheme="majorEastAsia" w:hAnsiTheme="majorEastAsia" w:eastAsiaTheme="majorEastAsia"/>
          <w:bCs/>
          <w:color w:val="000000" w:themeColor="text1"/>
          <w:sz w:val="18"/>
          <w:szCs w:val="18"/>
        </w:rPr>
        <w:t>，□金融同业客户。</w:t>
      </w:r>
    </w:p>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spacing w:line="360" w:lineRule="auto"/>
        <w:ind w:firstLine="360" w:firstLineChars="200"/>
        <w:rPr>
          <w:rFonts w:ascii="宋体" w:hAnsi="宋体"/>
          <w:sz w:val="18"/>
          <w:szCs w:val="18"/>
        </w:rPr>
      </w:pPr>
      <w:r>
        <w:rPr>
          <w:rFonts w:hint="eastAsia" w:ascii="宋体" w:hAnsi="宋体"/>
          <w:sz w:val="18"/>
          <w:szCs w:val="18"/>
        </w:rPr>
        <w:t>（一）投资者投资本产品可能面临的特定风险主要包括（但不限于）：</w:t>
      </w:r>
    </w:p>
    <w:p>
      <w:pPr>
        <w:pStyle w:val="58"/>
        <w:ind w:firstLine="426" w:firstLineChars="0"/>
        <w:rPr>
          <w:rFonts w:ascii="宋体" w:hAnsi="宋体"/>
          <w:sz w:val="18"/>
          <w:szCs w:val="18"/>
        </w:rPr>
      </w:pPr>
      <w:r>
        <w:rPr>
          <w:rFonts w:hint="eastAsia" w:ascii="宋体" w:hAnsi="宋体"/>
          <w:sz w:val="18"/>
          <w:szCs w:val="18"/>
        </w:rPr>
        <w:t>1.拟投资市场和资产的风险：</w:t>
      </w:r>
    </w:p>
    <w:p>
      <w:pPr>
        <w:pStyle w:val="58"/>
        <w:ind w:firstLine="426" w:firstLineChars="0"/>
        <w:rPr>
          <w:rFonts w:ascii="宋体" w:hAnsi="宋体"/>
          <w:sz w:val="18"/>
          <w:szCs w:val="18"/>
        </w:rPr>
      </w:pPr>
      <w:r>
        <w:rPr>
          <w:rFonts w:hint="eastAsia" w:ascii="宋体" w:hAnsi="宋体"/>
          <w:sz w:val="18"/>
          <w:szCs w:val="18"/>
        </w:rPr>
        <w:t>（1）投资固定收益类资产的风险</w:t>
      </w:r>
    </w:p>
    <w:p>
      <w:pPr>
        <w:pStyle w:val="58"/>
        <w:ind w:firstLine="426" w:firstLineChars="0"/>
        <w:rPr>
          <w:rFonts w:ascii="宋体" w:hAnsi="宋体"/>
          <w:sz w:val="18"/>
          <w:szCs w:val="18"/>
        </w:rPr>
      </w:pPr>
      <w:r>
        <w:rPr>
          <w:rFonts w:hint="eastAsia" w:ascii="宋体" w:hAnsi="宋体"/>
          <w:sz w:val="18"/>
          <w:szCs w:val="18"/>
        </w:rPr>
        <w:t>1）投资标准化债权类资产的风险</w:t>
      </w:r>
    </w:p>
    <w:p>
      <w:pPr>
        <w:pStyle w:val="58"/>
        <w:ind w:firstLine="426" w:firstLineChars="0"/>
        <w:rPr>
          <w:rFonts w:ascii="宋体" w:hAnsi="宋体"/>
          <w:sz w:val="18"/>
          <w:szCs w:val="18"/>
        </w:rPr>
      </w:pPr>
      <w:r>
        <w:rPr>
          <w:rFonts w:hint="eastAsia" w:ascii="宋体" w:hAnsi="宋体"/>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58"/>
        <w:ind w:firstLine="426" w:firstLineChars="0"/>
        <w:rPr>
          <w:rFonts w:ascii="宋体" w:hAnsi="宋体"/>
          <w:sz w:val="18"/>
          <w:szCs w:val="18"/>
        </w:rPr>
      </w:pPr>
      <w:r>
        <w:rPr>
          <w:rFonts w:hint="eastAsia" w:ascii="宋体" w:hAnsi="宋体"/>
          <w:sz w:val="18"/>
          <w:szCs w:val="18"/>
        </w:rPr>
        <w:t xml:space="preserve">（2）投资商品和金融衍生品类资产的风险 </w:t>
      </w:r>
    </w:p>
    <w:p>
      <w:pPr>
        <w:pStyle w:val="58"/>
        <w:ind w:firstLine="426" w:firstLineChars="0"/>
        <w:rPr>
          <w:rFonts w:ascii="宋体" w:hAnsi="宋体"/>
          <w:sz w:val="18"/>
          <w:szCs w:val="18"/>
        </w:rPr>
      </w:pPr>
      <w:r>
        <w:rPr>
          <w:rFonts w:hint="eastAsia" w:ascii="宋体" w:hAnsi="宋体"/>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pStyle w:val="58"/>
        <w:ind w:firstLine="426" w:firstLineChars="0"/>
        <w:rPr>
          <w:rFonts w:ascii="宋体" w:hAnsi="宋体"/>
          <w:b/>
          <w:bCs/>
          <w:sz w:val="18"/>
          <w:szCs w:val="18"/>
        </w:rPr>
      </w:pPr>
      <w:r>
        <w:rPr>
          <w:rFonts w:hint="eastAsia" w:ascii="宋体" w:hAnsi="宋体"/>
          <w:b/>
          <w:bCs/>
          <w:sz w:val="18"/>
          <w:szCs w:val="18"/>
        </w:rPr>
        <w:t>★注：以上特定风险仅为列举性质，未能详尽列明投资本产品可能面临的全部风险和可能导致投资者投资本金及收益损失的所有因素。</w:t>
      </w:r>
    </w:p>
    <w:p>
      <w:pPr>
        <w:pStyle w:val="58"/>
        <w:ind w:firstLine="426" w:firstLineChars="0"/>
        <w:rPr>
          <w:rFonts w:ascii="宋体" w:hAnsi="宋体"/>
          <w:sz w:val="18"/>
          <w:szCs w:val="18"/>
        </w:rPr>
      </w:pPr>
      <w:r>
        <w:rPr>
          <w:rFonts w:hint="eastAsia" w:ascii="宋体" w:hAnsi="宋体"/>
          <w:sz w:val="18"/>
          <w:szCs w:val="18"/>
        </w:rPr>
        <w:t xml:space="preserve">（二）投资者投资本产品可能面临的一般风险主要包括（但不限于）： </w:t>
      </w:r>
    </w:p>
    <w:p>
      <w:pPr>
        <w:pStyle w:val="58"/>
        <w:ind w:firstLine="426" w:firstLineChars="0"/>
        <w:rPr>
          <w:rFonts w:ascii="宋体" w:hAnsi="宋体" w:cs="仿宋_GB2312"/>
          <w:kern w:val="0"/>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58"/>
        <w:ind w:firstLine="426" w:firstLineChars="0"/>
        <w:rPr>
          <w:rFonts w:ascii="宋体" w:hAnsi="宋体" w:cs="仿宋_GB2312"/>
          <w:kern w:val="0"/>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58"/>
        <w:ind w:firstLine="426" w:firstLineChars="0"/>
        <w:rPr>
          <w:rFonts w:ascii="宋体" w:hAnsi="宋体" w:cs="仿宋_GB2312"/>
          <w:kern w:val="0"/>
          <w:sz w:val="18"/>
          <w:szCs w:val="18"/>
        </w:rPr>
      </w:pPr>
      <w:r>
        <w:rPr>
          <w:rFonts w:ascii="宋体" w:hAnsi="宋体"/>
          <w:b/>
          <w:bCs/>
          <w:sz w:val="18"/>
          <w:szCs w:val="18"/>
        </w:rPr>
        <w:t>3</w:t>
      </w:r>
      <w:r>
        <w:rPr>
          <w:rFonts w:hint="eastAsia" w:ascii="宋体" w:hAnsi="宋体"/>
          <w:b/>
          <w:bCs/>
          <w:sz w:val="18"/>
          <w:szCs w:val="18"/>
        </w:rPr>
        <w:t>.市场</w:t>
      </w:r>
      <w:r>
        <w:rPr>
          <w:rFonts w:ascii="宋体" w:hAnsi="宋体"/>
          <w:b/>
          <w:bCs/>
          <w:sz w:val="18"/>
          <w:szCs w:val="18"/>
        </w:rPr>
        <w:t>风险：</w:t>
      </w: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58"/>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58"/>
        <w:ind w:firstLine="426" w:firstLineChars="0"/>
        <w:rPr>
          <w:rFonts w:ascii="宋体" w:hAnsi="宋体" w:cs="仿宋_GB2312"/>
          <w:kern w:val="0"/>
          <w:sz w:val="18"/>
          <w:szCs w:val="18"/>
        </w:rPr>
      </w:pPr>
      <w:r>
        <w:rPr>
          <w:rFonts w:ascii="宋体" w:hAnsi="宋体" w:cs="仿宋_GB2312"/>
          <w:b/>
          <w:kern w:val="0"/>
          <w:sz w:val="18"/>
          <w:szCs w:val="18"/>
        </w:rPr>
        <w:t>5</w:t>
      </w:r>
      <w:r>
        <w:rPr>
          <w:rFonts w:hint="eastAsia" w:ascii="宋体" w:hAnsi="宋体" w:cs="仿宋_GB2312"/>
          <w:b/>
          <w:kern w:val="0"/>
          <w:sz w:val="18"/>
          <w:szCs w:val="18"/>
        </w:rPr>
        <w:t>.</w:t>
      </w:r>
      <w:r>
        <w:rPr>
          <w:rFonts w:ascii="宋体" w:hAnsi="宋体" w:cs="仿宋_GB2312"/>
          <w:b/>
          <w:kern w:val="0"/>
          <w:sz w:val="18"/>
          <w:szCs w:val="18"/>
        </w:rPr>
        <w:t>法律与政策风险：</w:t>
      </w: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58"/>
        <w:ind w:firstLine="426" w:firstLineChars="0"/>
        <w:rPr>
          <w:rFonts w:ascii="宋体" w:hAnsi="宋体" w:cs="仿宋_GB2312"/>
          <w:kern w:val="0"/>
          <w:sz w:val="18"/>
          <w:szCs w:val="18"/>
        </w:rPr>
      </w:pPr>
      <w:r>
        <w:rPr>
          <w:rFonts w:ascii="宋体" w:hAnsi="宋体"/>
          <w:b/>
          <w:bCs/>
          <w:sz w:val="18"/>
          <w:szCs w:val="18"/>
        </w:rPr>
        <w:t>6</w:t>
      </w:r>
      <w:r>
        <w:rPr>
          <w:rFonts w:hint="eastAsia" w:ascii="宋体" w:hAnsi="宋体"/>
          <w:b/>
          <w:bCs/>
          <w:sz w:val="18"/>
          <w:szCs w:val="18"/>
        </w:rPr>
        <w:t>.</w:t>
      </w:r>
      <w:r>
        <w:rPr>
          <w:rFonts w:ascii="宋体" w:hAnsi="宋体"/>
          <w:b/>
          <w:bCs/>
          <w:sz w:val="18"/>
          <w:szCs w:val="18"/>
        </w:rPr>
        <w:t>延期</w:t>
      </w:r>
      <w:r>
        <w:rPr>
          <w:rFonts w:hint="eastAsia" w:ascii="宋体" w:hAnsi="宋体"/>
          <w:b/>
          <w:bCs/>
          <w:sz w:val="18"/>
          <w:szCs w:val="18"/>
        </w:rPr>
        <w:t>分配</w:t>
      </w:r>
      <w:r>
        <w:rPr>
          <w:rFonts w:ascii="宋体" w:hAnsi="宋体"/>
          <w:b/>
          <w:bCs/>
          <w:sz w:val="18"/>
          <w:szCs w:val="18"/>
        </w:rPr>
        <w:t>风险：</w:t>
      </w: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58"/>
        <w:ind w:firstLine="426" w:firstLineChars="0"/>
        <w:rPr>
          <w:rFonts w:ascii="宋体" w:hAnsi="宋体" w:cs="仿宋_GB2312"/>
          <w:kern w:val="0"/>
          <w:sz w:val="18"/>
          <w:szCs w:val="18"/>
        </w:rPr>
      </w:pPr>
      <w:r>
        <w:rPr>
          <w:rFonts w:ascii="宋体" w:hAnsi="宋体" w:cs="仿宋_GB2312"/>
          <w:b/>
          <w:kern w:val="0"/>
          <w:sz w:val="18"/>
          <w:szCs w:val="18"/>
        </w:rPr>
        <w:t>7</w:t>
      </w:r>
      <w:r>
        <w:rPr>
          <w:rFonts w:hint="eastAsia" w:ascii="宋体" w:hAnsi="宋体" w:cs="仿宋_GB2312"/>
          <w:b/>
          <w:kern w:val="0"/>
          <w:sz w:val="18"/>
          <w:szCs w:val="18"/>
        </w:rPr>
        <w:t>.</w:t>
      </w:r>
      <w:r>
        <w:rPr>
          <w:rFonts w:ascii="宋体" w:hAnsi="宋体" w:cs="仿宋_GB2312"/>
          <w:b/>
          <w:kern w:val="0"/>
          <w:sz w:val="18"/>
          <w:szCs w:val="18"/>
        </w:rPr>
        <w:t>早偿风险：</w:t>
      </w:r>
      <w:r>
        <w:rPr>
          <w:rFonts w:hint="eastAsia" w:ascii="宋体" w:hAnsi="宋体" w:cs="仿宋_GB2312"/>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pStyle w:val="58"/>
        <w:ind w:firstLine="426" w:firstLineChars="0"/>
        <w:rPr>
          <w:rFonts w:ascii="宋体" w:hAnsi="宋体" w:cs="仿宋_GB2312"/>
          <w:kern w:val="0"/>
          <w:sz w:val="18"/>
          <w:szCs w:val="18"/>
        </w:rPr>
      </w:pPr>
      <w:r>
        <w:rPr>
          <w:rFonts w:ascii="宋体" w:hAnsi="宋体"/>
          <w:b/>
          <w:bCs/>
          <w:sz w:val="18"/>
          <w:szCs w:val="18"/>
        </w:rPr>
        <w:t>8</w:t>
      </w:r>
      <w:r>
        <w:rPr>
          <w:rFonts w:hint="eastAsia" w:ascii="宋体" w:hAnsi="宋体"/>
          <w:b/>
          <w:bCs/>
          <w:sz w:val="18"/>
          <w:szCs w:val="18"/>
        </w:rPr>
        <w:t>.</w:t>
      </w:r>
      <w:r>
        <w:rPr>
          <w:rFonts w:ascii="宋体" w:hAnsi="宋体"/>
          <w:b/>
          <w:bCs/>
          <w:sz w:val="18"/>
          <w:szCs w:val="18"/>
        </w:rPr>
        <w:t>信息传递风险：</w:t>
      </w:r>
      <w:r>
        <w:rPr>
          <w:rFonts w:hint="eastAsia" w:ascii="宋体" w:hAnsi="宋体" w:cs="仿宋_GB2312"/>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hint="eastAsia" w:ascii="黑体" w:hAnsi="黑体" w:eastAsia="黑体" w:cs="仿宋_GB2312"/>
          <w:bCs/>
          <w:kern w:val="0"/>
          <w:sz w:val="18"/>
          <w:szCs w:val="18"/>
        </w:rPr>
        <w:t>★</w:t>
      </w:r>
      <w:r>
        <w:rPr>
          <w:rFonts w:ascii="黑体" w:hAnsi="黑体" w:eastAsia="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hint="eastAsia" w:ascii="宋体" w:hAnsi="宋体" w:cs="仿宋_GB2312"/>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pPr>
        <w:ind w:firstLine="450" w:firstLineChars="249"/>
        <w:rPr>
          <w:rFonts w:ascii="宋体" w:hAnsi="宋体"/>
          <w:bCs/>
          <w:sz w:val="18"/>
          <w:szCs w:val="18"/>
        </w:rPr>
      </w:pPr>
      <w:r>
        <w:rPr>
          <w:rFonts w:ascii="宋体" w:hAnsi="宋体"/>
          <w:b/>
          <w:bCs/>
          <w:sz w:val="18"/>
          <w:szCs w:val="18"/>
        </w:rPr>
        <w:t>9</w:t>
      </w:r>
      <w:r>
        <w:rPr>
          <w:rFonts w:hint="eastAsia" w:ascii="宋体" w:hAnsi="宋体"/>
          <w:b/>
          <w:bCs/>
          <w:sz w:val="18"/>
          <w:szCs w:val="18"/>
        </w:rPr>
        <w:t>.</w:t>
      </w:r>
      <w:r>
        <w:rPr>
          <w:rFonts w:ascii="宋体" w:hAnsi="宋体"/>
          <w:b/>
          <w:bCs/>
          <w:sz w:val="18"/>
          <w:szCs w:val="18"/>
        </w:rPr>
        <w:t>不可抗力及意外事件风险：</w:t>
      </w:r>
      <w:r>
        <w:rPr>
          <w:rFonts w:hint="eastAsia" w:ascii="宋体" w:hAnsi="宋体"/>
          <w:bCs/>
          <w:sz w:val="18"/>
          <w:szCs w:val="18"/>
        </w:rPr>
        <w:t>因战争、自然灾害、重大政治事件等不可抗力以及其他不可预见的意外事件可能致使理财产品面临损失的风险。</w:t>
      </w:r>
    </w:p>
    <w:p>
      <w:pPr>
        <w:pStyle w:val="58"/>
        <w:ind w:firstLine="426" w:firstLineChars="0"/>
        <w:rPr>
          <w:rFonts w:ascii="宋体" w:hAnsi="宋体"/>
          <w:bCs/>
          <w:sz w:val="18"/>
          <w:szCs w:val="18"/>
        </w:rPr>
      </w:pPr>
      <w:r>
        <w:rPr>
          <w:rFonts w:ascii="宋体" w:hAnsi="宋体"/>
          <w:b/>
          <w:bCs/>
          <w:sz w:val="18"/>
          <w:szCs w:val="18"/>
        </w:rPr>
        <w:t>10</w:t>
      </w:r>
      <w:r>
        <w:rPr>
          <w:rFonts w:hint="eastAsia" w:ascii="宋体" w:hAnsi="宋体"/>
          <w:b/>
          <w:bCs/>
          <w:sz w:val="18"/>
          <w:szCs w:val="18"/>
        </w:rPr>
        <w:t>.</w:t>
      </w:r>
      <w:r>
        <w:rPr>
          <w:rFonts w:ascii="宋体" w:hAnsi="宋体"/>
          <w:b/>
          <w:bCs/>
          <w:sz w:val="18"/>
          <w:szCs w:val="18"/>
        </w:rPr>
        <w:t>管理人风险：</w:t>
      </w: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58"/>
        <w:ind w:firstLineChars="0"/>
        <w:rPr>
          <w:rFonts w:ascii="宋体" w:hAnsi="宋体"/>
          <w:bCs/>
          <w:sz w:val="18"/>
          <w:szCs w:val="18"/>
        </w:rPr>
      </w:pPr>
      <w:r>
        <w:rPr>
          <w:rFonts w:ascii="宋体" w:hAnsi="宋体"/>
          <w:b/>
          <w:bCs/>
          <w:sz w:val="18"/>
          <w:szCs w:val="18"/>
        </w:rPr>
        <w:t>11</w:t>
      </w:r>
      <w:r>
        <w:rPr>
          <w:rFonts w:hint="eastAsia" w:ascii="宋体" w:hAnsi="宋体"/>
          <w:b/>
          <w:bCs/>
          <w:sz w:val="18"/>
          <w:szCs w:val="18"/>
        </w:rPr>
        <w:t>.理财产品不成立风险：</w:t>
      </w: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58"/>
        <w:ind w:firstLineChars="0"/>
        <w:rPr>
          <w:rFonts w:ascii="宋体" w:hAnsi="宋体"/>
          <w:bCs/>
          <w:sz w:val="18"/>
          <w:szCs w:val="18"/>
        </w:rPr>
      </w:pPr>
      <w:r>
        <w:rPr>
          <w:rFonts w:ascii="宋体" w:hAnsi="宋体"/>
          <w:b/>
          <w:bCs/>
          <w:sz w:val="18"/>
          <w:szCs w:val="18"/>
        </w:rPr>
        <w:t>12</w:t>
      </w:r>
      <w:r>
        <w:rPr>
          <w:rFonts w:hint="eastAsia" w:ascii="宋体" w:hAnsi="宋体"/>
          <w:b/>
          <w:bCs/>
          <w:sz w:val="18"/>
          <w:szCs w:val="18"/>
        </w:rPr>
        <w:t>.</w:t>
      </w:r>
      <w:r>
        <w:rPr>
          <w:rFonts w:ascii="宋体" w:hAnsi="宋体"/>
          <w:b/>
          <w:bCs/>
          <w:sz w:val="18"/>
          <w:szCs w:val="18"/>
        </w:rPr>
        <w:t>操作风险：</w:t>
      </w: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58"/>
        <w:ind w:firstLineChars="0"/>
        <w:rPr>
          <w:rFonts w:ascii="宋体" w:hAnsi="宋体"/>
          <w:bCs/>
          <w:sz w:val="18"/>
          <w:szCs w:val="18"/>
        </w:rPr>
      </w:pPr>
      <w:r>
        <w:rPr>
          <w:rFonts w:ascii="宋体" w:hAnsi="宋体"/>
          <w:b/>
          <w:bCs/>
          <w:sz w:val="18"/>
          <w:szCs w:val="18"/>
        </w:rPr>
        <w:t>13.估值</w:t>
      </w:r>
      <w:r>
        <w:rPr>
          <w:rFonts w:hint="eastAsia" w:ascii="宋体" w:hAnsi="宋体"/>
          <w:b/>
          <w:bCs/>
          <w:sz w:val="18"/>
          <w:szCs w:val="18"/>
        </w:rPr>
        <w:t>波动</w:t>
      </w:r>
      <w:r>
        <w:rPr>
          <w:rFonts w:ascii="宋体" w:hAnsi="宋体"/>
          <w:b/>
          <w:bCs/>
          <w:sz w:val="18"/>
          <w:szCs w:val="18"/>
        </w:rPr>
        <w:t>风险：</w:t>
      </w:r>
      <w:r>
        <w:rPr>
          <w:rFonts w:hint="eastAsia" w:asciiTheme="majorEastAsia" w:hAnsiTheme="majorEastAsia" w:eastAsiaTheme="majorEastAsia"/>
          <w:bCs/>
          <w:color w:val="000000" w:themeColor="text1"/>
          <w:sz w:val="18"/>
          <w:szCs w:val="18"/>
        </w:rPr>
        <w:t>本理财产品可能</w:t>
      </w:r>
      <w:r>
        <w:rPr>
          <w:rFonts w:asciiTheme="majorEastAsia" w:hAnsiTheme="majorEastAsia" w:eastAsiaTheme="majorEastAsia"/>
          <w:bCs/>
          <w:color w:val="000000" w:themeColor="text1"/>
          <w:sz w:val="18"/>
          <w:szCs w:val="18"/>
        </w:rPr>
        <w:t>投资符合监管</w:t>
      </w:r>
      <w:r>
        <w:rPr>
          <w:rFonts w:hint="eastAsia" w:asciiTheme="majorEastAsia" w:hAnsiTheme="majorEastAsia" w:eastAsiaTheme="majorEastAsia"/>
          <w:bCs/>
          <w:color w:val="000000" w:themeColor="text1"/>
          <w:sz w:val="18"/>
          <w:szCs w:val="18"/>
        </w:rPr>
        <w:t>要求的资产管理产品（包括但不限于信托计划、</w:t>
      </w:r>
      <w:r>
        <w:rPr>
          <w:rFonts w:hint="eastAsia" w:asciiTheme="majorEastAsia" w:hAnsiTheme="majorEastAsia" w:eastAsiaTheme="majorEastAsia"/>
          <w:bCs/>
          <w:color w:val="000000" w:themeColor="text1"/>
          <w:kern w:val="0"/>
          <w:sz w:val="18"/>
          <w:szCs w:val="18"/>
        </w:rPr>
        <w:t>公募基金、基金公司或子公司资产管理计划、证券公司资产管理计划、</w:t>
      </w:r>
      <w:r>
        <w:rPr>
          <w:rFonts w:hint="eastAsia" w:asciiTheme="majorEastAsia" w:hAnsiTheme="majorEastAsia" w:eastAsiaTheme="majorEastAsia"/>
          <w:bCs/>
          <w:color w:val="000000" w:themeColor="text1"/>
          <w:sz w:val="18"/>
          <w:szCs w:val="18"/>
        </w:rPr>
        <w:t>期货资产管理计划、</w:t>
      </w:r>
      <w:r>
        <w:rPr>
          <w:rFonts w:hint="eastAsia" w:asciiTheme="majorEastAsia" w:hAnsiTheme="majorEastAsia" w:eastAsiaTheme="majorEastAsia"/>
          <w:bCs/>
          <w:color w:val="000000" w:themeColor="text1"/>
          <w:kern w:val="0"/>
          <w:sz w:val="18"/>
          <w:szCs w:val="18"/>
        </w:rPr>
        <w:t>保险资产管理计划</w:t>
      </w:r>
      <w:r>
        <w:rPr>
          <w:rFonts w:hint="eastAsia" w:asciiTheme="majorEastAsia" w:hAnsiTheme="majorEastAsia" w:eastAsiaTheme="majorEastAsia"/>
          <w:bCs/>
          <w:color w:val="000000" w:themeColor="text1"/>
          <w:sz w:val="18"/>
          <w:szCs w:val="18"/>
        </w:rPr>
        <w:t>等），前述资产管理产品的管理人可能收取</w:t>
      </w:r>
      <w:r>
        <w:rPr>
          <w:rFonts w:asciiTheme="majorEastAsia" w:hAnsiTheme="majorEastAsia" w:eastAsiaTheme="majorEastAsia"/>
          <w:bCs/>
          <w:color w:val="000000" w:themeColor="text1"/>
          <w:sz w:val="18"/>
          <w:szCs w:val="18"/>
        </w:rPr>
        <w:t>业绩报酬，</w:t>
      </w:r>
      <w:r>
        <w:rPr>
          <w:rFonts w:hint="eastAsia" w:asciiTheme="majorEastAsia" w:hAnsiTheme="majorEastAsia" w:eastAsiaTheme="majorEastAsia"/>
          <w:bCs/>
          <w:color w:val="000000" w:themeColor="text1"/>
          <w:sz w:val="18"/>
          <w:szCs w:val="18"/>
        </w:rPr>
        <w:t>当前述资产管理产品计提业绩报酬时，本理财产品的产品份额净值存在下跌的风险。</w:t>
      </w:r>
    </w:p>
    <w:p>
      <w:pPr>
        <w:pStyle w:val="58"/>
        <w:ind w:firstLineChars="0"/>
        <w:rPr>
          <w:rFonts w:ascii="宋体" w:hAnsi="宋体"/>
          <w:bCs/>
          <w:sz w:val="18"/>
          <w:szCs w:val="18"/>
        </w:rPr>
      </w:pPr>
      <w:r>
        <w:rPr>
          <w:rFonts w:ascii="宋体" w:hAnsi="宋体"/>
          <w:b/>
          <w:bCs/>
          <w:sz w:val="18"/>
          <w:szCs w:val="18"/>
        </w:rPr>
        <w:t>14</w:t>
      </w:r>
      <w:r>
        <w:rPr>
          <w:rFonts w:hint="eastAsia" w:ascii="宋体" w:hAnsi="宋体"/>
          <w:b/>
          <w:bCs/>
          <w:sz w:val="18"/>
          <w:szCs w:val="18"/>
        </w:rPr>
        <w:t>.</w:t>
      </w:r>
      <w:r>
        <w:rPr>
          <w:rFonts w:ascii="宋体" w:hAnsi="宋体"/>
          <w:b/>
          <w:bCs/>
          <w:sz w:val="18"/>
          <w:szCs w:val="18"/>
        </w:rPr>
        <w:t>估值差错风险：</w:t>
      </w: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58"/>
        <w:ind w:firstLineChars="0"/>
        <w:rPr>
          <w:rFonts w:ascii="黑体" w:hAnsi="黑体" w:eastAsia="黑体"/>
          <w:bCs/>
          <w:sz w:val="18"/>
          <w:szCs w:val="18"/>
          <w:u w:val="single"/>
        </w:rPr>
      </w:pPr>
      <w:r>
        <w:rPr>
          <w:rFonts w:ascii="宋体" w:hAnsi="宋体"/>
          <w:b/>
          <w:bCs/>
          <w:sz w:val="18"/>
          <w:szCs w:val="18"/>
        </w:rPr>
        <w:t>15</w:t>
      </w:r>
      <w:r>
        <w:rPr>
          <w:rFonts w:hint="eastAsia" w:ascii="宋体" w:hAnsi="宋体"/>
          <w:b/>
          <w:bCs/>
          <w:sz w:val="18"/>
          <w:szCs w:val="18"/>
        </w:rPr>
        <w:t>.</w:t>
      </w:r>
      <w:r>
        <w:rPr>
          <w:rFonts w:hint="eastAsia" w:hAnsi="宋体"/>
          <w:sz w:val="18"/>
          <w:szCs w:val="18"/>
        </w:rPr>
        <w:t>★</w:t>
      </w:r>
      <w:r>
        <w:rPr>
          <w:rFonts w:hint="eastAsia" w:ascii="宋体" w:hAnsi="宋体"/>
          <w:b/>
          <w:bCs/>
          <w:sz w:val="18"/>
          <w:szCs w:val="18"/>
        </w:rPr>
        <w:t>代销风险：</w:t>
      </w:r>
      <w:r>
        <w:rPr>
          <w:rFonts w:hint="eastAsia" w:ascii="黑体" w:hAnsi="黑体" w:eastAsia="黑体"/>
          <w:bCs/>
          <w:sz w:val="18"/>
          <w:szCs w:val="18"/>
          <w:u w:val="single"/>
        </w:rPr>
        <w:t>本理财产品若通过非产品管理人自有渠道进行销售的属于代理销售，认购</w:t>
      </w:r>
      <w:r>
        <w:rPr>
          <w:rFonts w:ascii="黑体" w:hAnsi="黑体" w:eastAsia="黑体"/>
          <w:bCs/>
          <w:sz w:val="18"/>
          <w:szCs w:val="18"/>
          <w:u w:val="single"/>
        </w:rPr>
        <w:t>/</w:t>
      </w:r>
      <w:r>
        <w:rPr>
          <w:rFonts w:hint="eastAsia" w:ascii="黑体" w:hAnsi="黑体" w:eastAsia="黑体"/>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hAnsi="黑体" w:eastAsia="黑体"/>
          <w:bCs/>
          <w:sz w:val="18"/>
          <w:szCs w:val="18"/>
          <w:u w:val="single"/>
        </w:rPr>
        <w:t>申购</w:t>
      </w:r>
      <w:r>
        <w:rPr>
          <w:rFonts w:hint="eastAsia" w:ascii="黑体" w:hAnsi="黑体" w:eastAsia="黑体"/>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pStyle w:val="58"/>
        <w:ind w:firstLineChars="0"/>
        <w:rPr>
          <w:rFonts w:ascii="黑体" w:hAnsi="黑体" w:eastAsia="黑体" w:cs="仿宋_GB2312"/>
          <w:kern w:val="0"/>
          <w:sz w:val="18"/>
          <w:szCs w:val="18"/>
        </w:rPr>
      </w:pPr>
      <w:r>
        <w:rPr>
          <w:rFonts w:ascii="黑体" w:hAnsi="黑体" w:eastAsia="黑体"/>
          <w:b/>
          <w:bCs/>
          <w:sz w:val="18"/>
          <w:szCs w:val="18"/>
          <w:u w:val="single"/>
        </w:rPr>
        <w:t>16.</w:t>
      </w:r>
      <w:r>
        <w:rPr>
          <w:rFonts w:hint="eastAsia" w:ascii="黑体" w:hAnsi="黑体" w:eastAsia="黑体" w:cs="仿宋_GB2312"/>
          <w:b/>
          <w:kern w:val="0"/>
          <w:sz w:val="18"/>
          <w:szCs w:val="18"/>
        </w:rPr>
        <w:t>★不同理财产品份额类别存在差异的风险：</w:t>
      </w: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等因素，对理财投资者所持有的理财产品设置不同理财产品份额类别。不同类别的理财产品份额在销售名称、</w:t>
      </w:r>
      <w:r>
        <w:rPr>
          <w:rFonts w:hint="eastAsia" w:ascii="黑体" w:hAnsi="黑体" w:eastAsia="黑体"/>
          <w:sz w:val="18"/>
          <w:szCs w:val="18"/>
        </w:rPr>
        <w:t>收费方式、</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w:t>
      </w:r>
      <w:r>
        <w:rPr>
          <w:rFonts w:hint="eastAsia" w:ascii="黑体" w:hAnsi="黑体" w:eastAsia="黑体" w:cs="仿宋_GB2312"/>
          <w:kern w:val="0"/>
          <w:sz w:val="18"/>
          <w:szCs w:val="18"/>
        </w:rPr>
        <w:t>赎回的数量限制、</w:t>
      </w:r>
      <w:r>
        <w:rPr>
          <w:rFonts w:hint="eastAsia" w:ascii="黑体" w:hAnsi="黑体" w:eastAsia="黑体"/>
          <w:sz w:val="18"/>
          <w:szCs w:val="18"/>
        </w:rPr>
        <w:t>投资者持有本产品的最高限额最低限额、</w:t>
      </w:r>
      <w:r>
        <w:rPr>
          <w:rFonts w:hint="eastAsia" w:ascii="黑体" w:hAnsi="黑体" w:eastAsia="黑体" w:cs="仿宋_GB2312"/>
          <w:kern w:val="0"/>
          <w:sz w:val="18"/>
          <w:szCs w:val="18"/>
        </w:rPr>
        <w:t>计算和公告产品份额净值方面存在差异。</w:t>
      </w:r>
    </w:p>
    <w:p>
      <w:pPr>
        <w:pStyle w:val="58"/>
        <w:ind w:firstLineChars="0"/>
        <w:rPr>
          <w:rFonts w:ascii="黑体" w:hAnsi="黑体" w:eastAsia="黑体"/>
          <w:sz w:val="18"/>
          <w:szCs w:val="18"/>
          <w:u w:val="single"/>
        </w:rPr>
      </w:pPr>
      <w:r>
        <w:rPr>
          <w:rFonts w:ascii="黑体" w:hAnsi="黑体" w:eastAsia="黑体"/>
          <w:b/>
          <w:bCs/>
          <w:sz w:val="18"/>
          <w:szCs w:val="18"/>
          <w:u w:val="single"/>
        </w:rPr>
        <w:t>17.</w:t>
      </w:r>
      <w:r>
        <w:rPr>
          <w:rFonts w:hint="eastAsia" w:ascii="黑体" w:hAnsi="黑体" w:eastAsia="黑体"/>
          <w:b/>
          <w:bCs/>
          <w:sz w:val="18"/>
          <w:szCs w:val="18"/>
          <w:u w:val="single"/>
        </w:rPr>
        <w:t>关联交易风险：</w:t>
      </w:r>
      <w:r>
        <w:rPr>
          <w:rFonts w:hint="eastAsia" w:ascii="黑体" w:hAnsi="黑体" w:eastAsia="黑体"/>
          <w:sz w:val="18"/>
          <w:szCs w:val="18"/>
          <w:u w:val="single"/>
        </w:rPr>
        <w:t>若本产品的销售机构为兴业银行股份有限公司（以下简称“兴业银行”），鉴于兴业银行是产品管理人的关联方，尽管兴业银行已建立健全关联方产品销售管理制度，但上述关联</w:t>
      </w:r>
      <w:r>
        <w:rPr>
          <w:rFonts w:ascii="黑体" w:hAnsi="黑体" w:eastAsia="黑体"/>
          <w:sz w:val="18"/>
          <w:szCs w:val="18"/>
          <w:u w:val="single"/>
        </w:rPr>
        <w:t>关系</w:t>
      </w:r>
      <w:r>
        <w:rPr>
          <w:rFonts w:hint="eastAsia" w:ascii="黑体" w:hAnsi="黑体" w:eastAsia="黑体"/>
          <w:sz w:val="18"/>
          <w:szCs w:val="18"/>
          <w:u w:val="single"/>
        </w:rPr>
        <w:t>仍可能产生</w:t>
      </w:r>
      <w:r>
        <w:rPr>
          <w:rFonts w:ascii="黑体" w:hAnsi="黑体" w:eastAsia="黑体"/>
          <w:sz w:val="18"/>
          <w:szCs w:val="18"/>
          <w:u w:val="single"/>
        </w:rPr>
        <w:t>不利影响和投资</w:t>
      </w:r>
      <w:r>
        <w:rPr>
          <w:rFonts w:hint="eastAsia" w:ascii="黑体" w:hAnsi="黑体" w:eastAsia="黑体"/>
          <w:sz w:val="18"/>
          <w:szCs w:val="18"/>
          <w:u w:val="single"/>
        </w:rPr>
        <w:t>风险，进而可能影响投资者的利益。</w:t>
      </w:r>
    </w:p>
    <w:p>
      <w:pPr>
        <w:autoSpaceDE w:val="0"/>
        <w:autoSpaceDN w:val="0"/>
        <w:adjustRightInd w:val="0"/>
        <w:ind w:firstLine="420"/>
        <w:jc w:val="left"/>
        <w:rPr>
          <w:rFonts w:ascii="黑体" w:hAnsi="黑体" w:eastAsia="黑体"/>
          <w:b/>
          <w:sz w:val="18"/>
          <w:szCs w:val="18"/>
        </w:rPr>
      </w:pPr>
      <w:r>
        <w:rPr>
          <w:rFonts w:hint="eastAsia" w:ascii="黑体" w:hAnsi="黑体" w:eastAsia="黑体" w:cs="仿宋_GB2312"/>
          <w:b/>
          <w:kern w:val="0"/>
          <w:sz w:val="18"/>
          <w:szCs w:val="18"/>
        </w:rPr>
        <w:t>（三）</w:t>
      </w:r>
      <w:r>
        <w:rPr>
          <w:rFonts w:hint="eastAsia" w:hAnsi="宋体"/>
          <w:b/>
          <w:sz w:val="18"/>
          <w:szCs w:val="18"/>
        </w:rPr>
        <w:t>★</w:t>
      </w:r>
      <w:r>
        <w:rPr>
          <w:rFonts w:hint="eastAsia" w:ascii="黑体" w:hAnsi="黑体" w:eastAsia="黑体" w:cs="仿宋_GB2312"/>
          <w:b/>
          <w:kern w:val="0"/>
          <w:sz w:val="18"/>
          <w:szCs w:val="18"/>
        </w:rPr>
        <w:t>最不利投资情形下的投资结果示例：</w:t>
      </w:r>
      <w:r>
        <w:rPr>
          <w:rFonts w:hint="eastAsia" w:ascii="黑体" w:hAnsi="黑体" w:eastAsia="黑体"/>
          <w:b/>
          <w:bCs/>
          <w:sz w:val="18"/>
          <w:szCs w:val="18"/>
        </w:rPr>
        <w:t>产品管理人对本产品的理财本金和收益不提供保证承诺，</w:t>
      </w:r>
      <w:r>
        <w:rPr>
          <w:rFonts w:hint="eastAsia" w:ascii="黑体" w:hAnsi="黑体" w:eastAsia="黑体"/>
          <w:b/>
          <w:sz w:val="18"/>
          <w:szCs w:val="18"/>
        </w:rPr>
        <w:t>若理财产品运作期间，该理财产品投资标的出现风险，则投资者可能无法获得理财收益</w:t>
      </w:r>
      <w:r>
        <w:rPr>
          <w:rFonts w:ascii="黑体" w:hAnsi="黑体" w:eastAsia="黑体"/>
          <w:b/>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五、【投资者适用】</w:t>
      </w:r>
      <w:r>
        <w:rPr>
          <w:rFonts w:hint="eastAsia" w:ascii="宋体" w:hAnsi="宋体" w:cs="仿宋_GB2312"/>
          <w:kern w:val="0"/>
          <w:sz w:val="18"/>
          <w:szCs w:val="18"/>
        </w:rPr>
        <w:t>《投资者风险承受能力评估问卷》用于评估投资者对金融工具及投资目标的相关风险的态度。投资者可根据评估结果确定所属投资者类型，购买适合的理财产品。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r>
        <w:rPr>
          <w:rFonts w:hint="eastAsia" w:ascii="宋体" w:hAnsi="宋体"/>
          <w:sz w:val="18"/>
          <w:szCs w:val="18"/>
        </w:rPr>
        <w:t>销售机构（【</w:t>
      </w:r>
      <w:r>
        <w:rPr>
          <w:rFonts w:hint="eastAsia" w:ascii="宋体" w:hAnsi="宋体"/>
          <w:sz w:val="18"/>
          <w:szCs w:val="18"/>
          <w:lang w:val="en-US" w:eastAsia="zh-CN"/>
        </w:rPr>
        <w:t xml:space="preserve">     </w:t>
      </w:r>
      <w:r>
        <w:rPr>
          <w:rFonts w:hint="eastAsia" w:ascii="宋体" w:hAnsi="宋体"/>
          <w:sz w:val="18"/>
          <w:szCs w:val="18"/>
          <w:lang w:eastAsia="zh-CN"/>
        </w:rPr>
        <w:t>】</w:t>
      </w:r>
      <w:r>
        <w:rPr>
          <w:rFonts w:hint="eastAsia" w:ascii="宋体" w:hAnsi="宋体"/>
          <w:sz w:val="18"/>
          <w:szCs w:val="18"/>
        </w:rPr>
        <w:t>）</w:t>
      </w:r>
    </w:p>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25"/>
        <w:tblW w:w="8371"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25"/>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25"/>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3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
      <w:pPr>
        <w:spacing w:line="360" w:lineRule="auto"/>
        <w:jc w:val="left"/>
        <w:rPr>
          <w:rFonts w:hint="eastAsia" w:ascii="宋体" w:hAnsi="宋体"/>
          <w:b/>
          <w:sz w:val="18"/>
          <w:szCs w:val="18"/>
        </w:rPr>
        <w:sectPr>
          <w:headerReference r:id="rId15" w:type="default"/>
          <w:footerReference r:id="rId16" w:type="default"/>
          <w:pgSz w:w="11906" w:h="16838"/>
          <w:pgMar w:top="1440" w:right="1800" w:bottom="1440" w:left="1800" w:header="851" w:footer="992" w:gutter="0"/>
          <w:cols w:space="425" w:num="1"/>
          <w:docGrid w:type="lines" w:linePitch="312" w:charSpace="0"/>
        </w:sectPr>
      </w:pPr>
    </w:p>
    <w:p>
      <w:pPr>
        <w:adjustRightInd w:val="0"/>
        <w:spacing w:line="276" w:lineRule="auto"/>
        <w:jc w:val="center"/>
        <w:rPr>
          <w:rStyle w:val="27"/>
          <w:rFonts w:hint="eastAsia" w:ascii="黑体" w:hAnsi="黑体" w:eastAsia="黑体"/>
          <w:sz w:val="28"/>
          <w:szCs w:val="28"/>
          <w:lang w:eastAsia="zh-CN"/>
        </w:rPr>
      </w:pPr>
      <w:r>
        <w:rPr>
          <w:rStyle w:val="27"/>
          <w:rFonts w:hint="eastAsia" w:ascii="黑体" w:hAnsi="黑体" w:eastAsia="黑体"/>
          <w:sz w:val="28"/>
          <w:szCs w:val="28"/>
          <w:lang w:eastAsia="zh-CN"/>
        </w:rPr>
        <w:t>兴银理财【稳添利最短持有期日开固收类】理财产品</w:t>
      </w:r>
    </w:p>
    <w:p>
      <w:pPr>
        <w:adjustRightInd w:val="0"/>
        <w:spacing w:line="276" w:lineRule="auto"/>
        <w:jc w:val="center"/>
        <w:rPr>
          <w:rStyle w:val="27"/>
          <w:rFonts w:ascii="黑体" w:hAnsi="黑体" w:eastAsia="黑体"/>
          <w:sz w:val="28"/>
          <w:szCs w:val="28"/>
        </w:rPr>
      </w:pPr>
      <w:r>
        <w:rPr>
          <w:rStyle w:val="27"/>
          <w:rFonts w:hint="eastAsia" w:ascii="黑体" w:hAnsi="黑体" w:eastAsia="黑体"/>
          <w:sz w:val="28"/>
          <w:szCs w:val="28"/>
        </w:rPr>
        <w:t>投资者权益须知</w:t>
      </w:r>
    </w:p>
    <w:p>
      <w:pPr>
        <w:pStyle w:val="43"/>
        <w:jc w:val="center"/>
        <w:rPr>
          <w:rFonts w:hAnsi="宋体"/>
          <w:b/>
          <w:color w:val="auto"/>
          <w:sz w:val="28"/>
          <w:szCs w:val="28"/>
        </w:rPr>
      </w:pPr>
      <w:r>
        <w:rPr>
          <w:rFonts w:hint="eastAsia" w:hAnsi="宋体"/>
          <w:b/>
          <w:color w:val="auto"/>
          <w:sz w:val="28"/>
          <w:szCs w:val="28"/>
        </w:rPr>
        <w:t>（适用于个人投资者）</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w:t>
      </w:r>
      <w:r>
        <w:rPr>
          <w:rFonts w:hint="eastAsia" w:asciiTheme="majorEastAsia" w:hAnsiTheme="majorEastAsia" w:eastAsiaTheme="majorEastAsia"/>
          <w:bCs/>
          <w:sz w:val="18"/>
          <w:szCs w:val="18"/>
          <w:lang w:val="en-US" w:eastAsia="zh-CN"/>
        </w:rPr>
        <w:t xml:space="preserve">    </w:t>
      </w:r>
      <w:r>
        <w:rPr>
          <w:rFonts w:hint="eastAsia" w:ascii="宋体" w:hAnsi="宋体"/>
          <w:sz w:val="18"/>
          <w:szCs w:val="18"/>
        </w:rPr>
        <w:t>】以(□ 直销：产品管理人销售/</w:t>
      </w:r>
      <w:r>
        <w:rPr>
          <w:rFonts w:hint="eastAsia" w:asciiTheme="majorEastAsia" w:hAnsiTheme="majorEastAsia" w:eastAsiaTheme="majorEastAsia"/>
          <w:bCs/>
          <w:color w:val="000000" w:themeColor="text1"/>
          <w:sz w:val="18"/>
          <w:szCs w:val="18"/>
        </w:rPr>
        <w:t>■</w:t>
      </w:r>
      <w:r>
        <w:rPr>
          <w:rFonts w:hint="eastAsia" w:ascii="宋体" w:hAnsi="宋体"/>
          <w:sz w:val="18"/>
          <w:szCs w:val="18"/>
        </w:rPr>
        <w:t xml:space="preserve">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0" w:firstLineChars="200"/>
        <w:rPr>
          <w:rFonts w:ascii="宋体" w:hAnsi="宋体"/>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p>
    <w:p>
      <w:pPr>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w:t>
      </w:r>
      <w:r>
        <w:rPr>
          <w:rFonts w:ascii="宋体" w:hAnsi="宋体"/>
          <w:sz w:val="18"/>
          <w:szCs w:val="18"/>
        </w:rPr>
        <w:t>（包括但不限于网上银行、电话银行和手机银行）均可办理理财产品的购买手续，但是对于具体理财产品，</w:t>
      </w:r>
      <w:r>
        <w:rPr>
          <w:rFonts w:hint="eastAsia" w:ascii="宋体" w:hAnsi="宋体"/>
          <w:sz w:val="18"/>
          <w:szCs w:val="18"/>
        </w:rPr>
        <w:t>产品管理人</w:t>
      </w:r>
      <w:r>
        <w:rPr>
          <w:rFonts w:ascii="宋体" w:hAnsi="宋体"/>
          <w:sz w:val="18"/>
          <w:szCs w:val="18"/>
        </w:rPr>
        <w:t>将根据产品风险等级和市场情况自行确定发售渠道。</w:t>
      </w:r>
    </w:p>
    <w:p>
      <w:pPr>
        <w:ind w:firstLine="361" w:firstLineChars="200"/>
        <w:rPr>
          <w:rFonts w:ascii="宋体" w:hAnsi="宋体"/>
          <w:b/>
          <w:sz w:val="18"/>
          <w:szCs w:val="18"/>
        </w:rPr>
      </w:pPr>
      <w:r>
        <w:rPr>
          <w:rFonts w:hint="eastAsia" w:ascii="宋体" w:hAnsi="宋体"/>
          <w:b/>
          <w:sz w:val="18"/>
          <w:szCs w:val="18"/>
        </w:rPr>
        <w:t>二、投资者风险承受能力与产品风险评级</w:t>
      </w:r>
    </w:p>
    <w:p>
      <w:pPr>
        <w:ind w:firstLine="361" w:firstLineChars="200"/>
        <w:rPr>
          <w:rFonts w:ascii="宋体" w:hAnsi="宋体"/>
          <w:b/>
          <w:sz w:val="18"/>
          <w:szCs w:val="18"/>
        </w:rPr>
      </w:pPr>
      <w:r>
        <w:rPr>
          <w:rFonts w:hint="eastAsia" w:ascii="宋体" w:hAnsi="宋体"/>
          <w:b/>
          <w:sz w:val="18"/>
          <w:szCs w:val="18"/>
        </w:rPr>
        <w:t>（一）投资者风险承受能力评估说明</w:t>
      </w:r>
    </w:p>
    <w:p>
      <w:pPr>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您首次购买兴银理财的理财产品前，需要进行风险承受能力评估，填写《个人投资者风险承受能力评估问卷》，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黑体" w:hAnsi="黑体" w:eastAsia="黑体"/>
          <w:b/>
          <w:sz w:val="18"/>
          <w:szCs w:val="18"/>
        </w:rPr>
        <w:t>如影响您风险承受能力的因素发生变化，请您及时重新完成风险承受能力评估。</w:t>
      </w:r>
    </w:p>
    <w:p>
      <w:pPr>
        <w:ind w:firstLine="361" w:firstLineChars="200"/>
        <w:rPr>
          <w:rFonts w:ascii="宋体" w:hAnsi="宋体"/>
          <w:b/>
          <w:sz w:val="18"/>
          <w:szCs w:val="18"/>
        </w:rPr>
      </w:pPr>
      <w:r>
        <w:rPr>
          <w:rFonts w:ascii="宋体" w:hAnsi="宋体"/>
          <w:b/>
          <w:sz w:val="18"/>
          <w:szCs w:val="18"/>
        </w:rPr>
        <w:t xml:space="preserve">2. </w:t>
      </w:r>
      <w:r>
        <w:rPr>
          <w:rFonts w:hint="eastAsia" w:ascii="宋体" w:hAnsi="宋体"/>
          <w:b/>
          <w:sz w:val="18"/>
          <w:szCs w:val="18"/>
        </w:rPr>
        <w:t>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投资者风险承受能力，个人投资者由低至高分为【C1至C</w:t>
      </w:r>
      <w:r>
        <w:rPr>
          <w:rFonts w:ascii="宋体" w:hAnsi="宋体"/>
          <w:sz w:val="18"/>
          <w:szCs w:val="18"/>
        </w:rPr>
        <w:t>6六</w:t>
      </w:r>
      <w:r>
        <w:rPr>
          <w:rFonts w:hint="eastAsia" w:ascii="宋体" w:hAnsi="宋体"/>
          <w:sz w:val="18"/>
          <w:szCs w:val="18"/>
        </w:rPr>
        <w:t>个等级】</w:t>
      </w:r>
      <w:r>
        <w:rPr>
          <w:rFonts w:ascii="宋体" w:hAnsi="宋体"/>
          <w:sz w:val="18"/>
          <w:szCs w:val="18"/>
        </w:rPr>
        <w:t>。其中，</w:t>
      </w:r>
      <w:r>
        <w:rPr>
          <w:rFonts w:hint="eastAsia" w:ascii="宋体" w:hAnsi="宋体"/>
          <w:sz w:val="18"/>
          <w:szCs w:val="18"/>
        </w:rPr>
        <w:t>【C1】</w:t>
      </w:r>
      <w:r>
        <w:rPr>
          <w:rFonts w:ascii="宋体" w:hAnsi="宋体"/>
          <w:sz w:val="18"/>
          <w:szCs w:val="18"/>
        </w:rPr>
        <w:t>为风险承受能力最低类别，</w:t>
      </w:r>
      <w:r>
        <w:rPr>
          <w:rFonts w:hint="eastAsia" w:ascii="宋体" w:hAnsi="宋体"/>
          <w:sz w:val="18"/>
          <w:szCs w:val="18"/>
        </w:rPr>
        <w:t>【C</w:t>
      </w:r>
      <w:r>
        <w:rPr>
          <w:rFonts w:ascii="宋体" w:hAnsi="宋体"/>
          <w:sz w:val="18"/>
          <w:szCs w:val="18"/>
        </w:rPr>
        <w:t>6</w:t>
      </w:r>
      <w:r>
        <w:rPr>
          <w:rFonts w:hint="eastAsia" w:ascii="宋体" w:hAnsi="宋体"/>
          <w:sz w:val="18"/>
          <w:szCs w:val="18"/>
        </w:rPr>
        <w:t>】</w:t>
      </w:r>
      <w:r>
        <w:rPr>
          <w:rFonts w:ascii="宋体" w:hAnsi="宋体"/>
          <w:sz w:val="18"/>
          <w:szCs w:val="18"/>
        </w:rPr>
        <w:t>为风险承受能力最高类别。风险承受能力评级越高适合购买的理财产品风险评级越高，适合购买的理财产品类型越丰富</w:t>
      </w:r>
      <w:r>
        <w:rPr>
          <w:rFonts w:hint="eastAsia" w:ascii="宋体" w:hAnsi="宋体"/>
          <w:sz w:val="18"/>
          <w:szCs w:val="18"/>
        </w:rPr>
        <w:t>。</w:t>
      </w:r>
      <w:r>
        <w:rPr>
          <w:rFonts w:ascii="宋体" w:hAnsi="宋体"/>
          <w:sz w:val="18"/>
          <w:szCs w:val="18"/>
        </w:rPr>
        <w:t>投资者风险承受能力评级类型与适合购买的理财产品的对应关系为：</w:t>
      </w:r>
    </w:p>
    <w:tbl>
      <w:tblPr>
        <w:tblStyle w:val="24"/>
        <w:tblW w:w="848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9"/>
        <w:gridCol w:w="4678"/>
        <w:gridCol w:w="28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1" w:hRule="atLeast"/>
          <w:jc w:val="center"/>
        </w:trPr>
        <w:tc>
          <w:tcPr>
            <w:tcW w:w="5617" w:type="dxa"/>
            <w:gridSpan w:val="2"/>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理财产品风险评级及风险评级说明</w:t>
            </w:r>
          </w:p>
        </w:tc>
        <w:tc>
          <w:tcPr>
            <w:tcW w:w="2865" w:type="dxa"/>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对应的投资者风险承受能力评级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5" w:hRule="atLeast"/>
          <w:jc w:val="center"/>
        </w:trPr>
        <w:tc>
          <w:tcPr>
            <w:tcW w:w="939" w:type="dxa"/>
            <w:tcBorders>
              <w:top w:val="single" w:color="auto" w:sz="12" w:space="0"/>
              <w:left w:val="single" w:color="auto" w:sz="12" w:space="0"/>
              <w:right w:val="single" w:color="auto" w:sz="4" w:space="0"/>
            </w:tcBorders>
            <w:vAlign w:val="center"/>
          </w:tcPr>
          <w:p>
            <w:pPr>
              <w:ind w:firstLine="360" w:firstLineChars="200"/>
              <w:rPr>
                <w:rFonts w:ascii="宋体" w:hAnsi="宋体"/>
                <w:sz w:val="18"/>
                <w:szCs w:val="18"/>
              </w:rPr>
            </w:pPr>
            <w:r>
              <w:rPr>
                <w:rFonts w:ascii="宋体" w:hAnsi="宋体"/>
                <w:sz w:val="18"/>
                <w:szCs w:val="18"/>
              </w:rPr>
              <w:t>R1</w:t>
            </w:r>
          </w:p>
        </w:tc>
        <w:tc>
          <w:tcPr>
            <w:tcW w:w="4678" w:type="dxa"/>
            <w:tcBorders>
              <w:top w:val="single" w:color="auto" w:sz="12" w:space="0"/>
              <w:left w:val="single" w:color="auto" w:sz="4" w:space="0"/>
              <w:right w:val="single" w:color="auto" w:sz="12" w:space="0"/>
            </w:tcBorders>
            <w:vAlign w:val="center"/>
          </w:tcPr>
          <w:p>
            <w:pPr>
              <w:ind w:firstLine="360" w:firstLineChars="200"/>
              <w:rPr>
                <w:rFonts w:ascii="宋体" w:hAnsi="宋体"/>
                <w:sz w:val="18"/>
                <w:szCs w:val="18"/>
              </w:rPr>
            </w:pPr>
            <w:r>
              <w:rPr>
                <w:rFonts w:hint="eastAsia" w:ascii="宋体" w:hAnsi="宋体"/>
                <w:sz w:val="18"/>
                <w:szCs w:val="18"/>
              </w:rPr>
              <w:t>低风险理财产品。理财产品的总体风险很低，净值波动很小，理财投资本金遭受损失的可能性很低，且产品具有较高的流动性。</w:t>
            </w:r>
          </w:p>
        </w:tc>
        <w:tc>
          <w:tcPr>
            <w:tcW w:w="2865" w:type="dxa"/>
            <w:tcBorders>
              <w:top w:val="single" w:color="auto" w:sz="12" w:space="0"/>
              <w:left w:val="single" w:color="auto" w:sz="12" w:space="0"/>
              <w:right w:val="single" w:color="auto" w:sz="12" w:space="0"/>
            </w:tcBorders>
            <w:vAlign w:val="center"/>
          </w:tcPr>
          <w:p>
            <w:pPr>
              <w:ind w:firstLine="360" w:firstLineChars="200"/>
              <w:rPr>
                <w:rFonts w:ascii="宋体" w:hAnsi="宋体"/>
                <w:sz w:val="18"/>
                <w:szCs w:val="18"/>
              </w:rPr>
            </w:pPr>
            <w:r>
              <w:rPr>
                <w:rFonts w:ascii="宋体" w:hAnsi="宋体"/>
                <w:sz w:val="18"/>
                <w:szCs w:val="18"/>
              </w:rPr>
              <w:t>C1及以上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939"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ascii="宋体" w:hAnsi="宋体"/>
                <w:sz w:val="18"/>
                <w:szCs w:val="18"/>
              </w:rPr>
              <w:t>R2</w:t>
            </w:r>
          </w:p>
        </w:tc>
        <w:tc>
          <w:tcPr>
            <w:tcW w:w="4678"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sz w:val="18"/>
                <w:szCs w:val="18"/>
              </w:rPr>
              <w:t>较低风险理财产品。理财产品的总体风险较低，净值波动较小，理财投资本金遭受损失的可能性较低。</w:t>
            </w: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ascii="宋体" w:hAnsi="宋体"/>
                <w:sz w:val="18"/>
                <w:szCs w:val="18"/>
              </w:rPr>
              <w:t>C2及以上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939"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ascii="宋体" w:hAnsi="宋体"/>
                <w:sz w:val="18"/>
                <w:szCs w:val="18"/>
              </w:rPr>
              <w:t>R3</w:t>
            </w:r>
          </w:p>
        </w:tc>
        <w:tc>
          <w:tcPr>
            <w:tcW w:w="4678"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sz w:val="18"/>
                <w:szCs w:val="18"/>
              </w:rPr>
              <w:t>中等风险理财产品。理财产品的总体风险适中，净值波动明显，产品本金出现损失的可能性不容忽视。</w:t>
            </w: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ascii="宋体" w:hAnsi="宋体"/>
                <w:sz w:val="18"/>
                <w:szCs w:val="18"/>
              </w:rPr>
              <w:t>C3及以上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939"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ascii="宋体" w:hAnsi="宋体"/>
                <w:sz w:val="18"/>
                <w:szCs w:val="18"/>
              </w:rPr>
              <w:t>R4</w:t>
            </w:r>
          </w:p>
        </w:tc>
        <w:tc>
          <w:tcPr>
            <w:tcW w:w="4678"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sz w:val="18"/>
                <w:szCs w:val="18"/>
              </w:rPr>
              <w:t>较高风险理财产品。理财产品的总体风险较高，净值波动明显，产品本金出现损失的可能性较高。</w:t>
            </w: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ascii="宋体" w:hAnsi="宋体"/>
                <w:sz w:val="18"/>
                <w:szCs w:val="18"/>
              </w:rPr>
              <w:t>C4及以上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939"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ascii="宋体" w:hAnsi="宋体"/>
                <w:sz w:val="18"/>
                <w:szCs w:val="18"/>
              </w:rPr>
              <w:t>R5</w:t>
            </w:r>
          </w:p>
        </w:tc>
        <w:tc>
          <w:tcPr>
            <w:tcW w:w="4678"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sz w:val="18"/>
                <w:szCs w:val="18"/>
              </w:rPr>
              <w:t>高风险理财产品。理财产品的总体风险程度高，净值波动明显，产品本金出现重大损失的可能性高。</w:t>
            </w: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ascii="宋体" w:hAnsi="宋体"/>
                <w:sz w:val="18"/>
                <w:szCs w:val="18"/>
              </w:rPr>
              <w:t>C5</w:t>
            </w:r>
            <w:r>
              <w:rPr>
                <w:rFonts w:hint="eastAsia" w:ascii="宋体" w:hAnsi="宋体"/>
                <w:sz w:val="18"/>
                <w:szCs w:val="18"/>
              </w:rPr>
              <w:t>及以上</w:t>
            </w: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Theme="minorEastAsia" w:hAnsiTheme="minorEastAsia"/>
          <w:sz w:val="18"/>
          <w:szCs w:val="18"/>
        </w:rPr>
        <w:t>理财产品的信息披露将通过兴业银行</w:t>
      </w:r>
      <w:r>
        <w:rPr>
          <w:rFonts w:asciiTheme="minorEastAsia" w:hAnsiTheme="minorEastAsia"/>
          <w:sz w:val="18"/>
          <w:szCs w:val="18"/>
        </w:rPr>
        <w:t>或</w:t>
      </w:r>
      <w:r>
        <w:rPr>
          <w:rFonts w:hint="eastAsia" w:asciiTheme="minorEastAsia" w:hAnsiTheme="minorEastAsia"/>
          <w:sz w:val="18"/>
          <w:szCs w:val="18"/>
        </w:rPr>
        <w:t>销售机构</w:t>
      </w:r>
      <w:r>
        <w:rPr>
          <w:rFonts w:hint="eastAsia" w:ascii="宋体" w:hAnsi="宋体"/>
          <w:bCs/>
          <w:sz w:val="18"/>
          <w:szCs w:val="18"/>
        </w:rPr>
        <w:t>的信息披露渠道（包括但不限于兴业</w:t>
      </w:r>
      <w:r>
        <w:rPr>
          <w:rFonts w:ascii="宋体" w:hAnsi="宋体"/>
          <w:bCs/>
          <w:sz w:val="18"/>
          <w:szCs w:val="18"/>
        </w:rPr>
        <w:t>银</w:t>
      </w:r>
      <w:r>
        <w:rPr>
          <w:rFonts w:hint="eastAsia" w:ascii="宋体" w:hAnsi="宋体"/>
          <w:bCs/>
          <w:sz w:val="18"/>
          <w:szCs w:val="18"/>
        </w:rPr>
        <w:t>行或销售机构的营业网点、门户网站、电子销售渠道等）进行。</w:t>
      </w:r>
      <w:r>
        <w:rPr>
          <w:rFonts w:asciiTheme="minorEastAsia" w:hAnsiTheme="minorEastAsia"/>
          <w:sz w:val="18"/>
          <w:szCs w:val="18"/>
        </w:rPr>
        <w:t>具体</w:t>
      </w:r>
      <w:r>
        <w:rPr>
          <w:rFonts w:hint="eastAsia" w:asciiTheme="minorEastAsia" w:hAnsiTheme="minorEastAsia"/>
          <w:sz w:val="18"/>
          <w:szCs w:val="18"/>
        </w:rPr>
        <w:t>信息披露条款</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ind w:firstLine="361" w:firstLineChars="200"/>
        <w:rPr>
          <w:rFonts w:asciiTheme="minorEastAsia" w:hAnsiTheme="minorEastAsia"/>
          <w:b/>
          <w:sz w:val="18"/>
          <w:szCs w:val="18"/>
        </w:rPr>
      </w:pPr>
      <w:r>
        <w:rPr>
          <w:rFonts w:hint="eastAsia" w:ascii="宋体" w:hAnsi="宋体"/>
          <w:b/>
          <w:sz w:val="18"/>
          <w:szCs w:val="18"/>
        </w:rPr>
        <w:t>四、关于投诉与建议</w:t>
      </w:r>
    </w:p>
    <w:p>
      <w:pPr>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ind w:firstLine="360" w:firstLineChars="200"/>
        <w:rPr>
          <w:rFonts w:ascii="宋体" w:hAnsi="宋体"/>
          <w:sz w:val="18"/>
          <w:szCs w:val="18"/>
        </w:rPr>
      </w:pPr>
      <w:r>
        <w:rPr>
          <w:rFonts w:hint="eastAsia" w:ascii="宋体" w:hAnsi="宋体"/>
          <w:sz w:val="18"/>
          <w:szCs w:val="18"/>
        </w:rPr>
        <w:t>（二）联络方式</w:t>
      </w:r>
      <w:r>
        <w:rPr>
          <w:rFonts w:ascii="宋体" w:hAnsi="宋体"/>
          <w:sz w:val="18"/>
          <w:szCs w:val="18"/>
        </w:rPr>
        <w:t xml:space="preserve"> </w:t>
      </w:r>
    </w:p>
    <w:p>
      <w:pPr>
        <w:ind w:firstLine="360" w:firstLineChars="200"/>
        <w:rPr>
          <w:rFonts w:ascii="宋体" w:hAnsi="宋体"/>
          <w:sz w:val="18"/>
          <w:szCs w:val="18"/>
        </w:rPr>
      </w:pPr>
      <w:r>
        <w:rPr>
          <w:rFonts w:hint="eastAsia" w:ascii="宋体" w:hAnsi="宋体"/>
          <w:sz w:val="18"/>
          <w:szCs w:val="18"/>
        </w:rPr>
        <w:t>兴银理财客户服务热线：40015-95561。</w:t>
      </w:r>
    </w:p>
    <w:p>
      <w:pPr>
        <w:spacing w:line="280" w:lineRule="atLeast"/>
        <w:ind w:firstLine="360" w:firstLineChars="200"/>
        <w:rPr>
          <w:rFonts w:ascii="宋体" w:hAnsi="宋体"/>
          <w:sz w:val="18"/>
          <w:szCs w:val="18"/>
        </w:rPr>
      </w:pPr>
      <w:r>
        <w:rPr>
          <w:rFonts w:ascii="宋体" w:hAnsi="宋体"/>
          <w:sz w:val="18"/>
          <w:szCs w:val="18"/>
        </w:rPr>
        <w:t>通过</w:t>
      </w:r>
      <w:r>
        <w:rPr>
          <w:rFonts w:hint="eastAsia" w:ascii="宋体" w:hAnsi="宋体"/>
          <w:sz w:val="18"/>
          <w:szCs w:val="18"/>
        </w:rPr>
        <w:t>兴业银行（作为销售机构）购</w:t>
      </w:r>
      <w:r>
        <w:rPr>
          <w:rFonts w:ascii="宋体" w:hAnsi="宋体"/>
          <w:sz w:val="18"/>
          <w:szCs w:val="18"/>
        </w:rPr>
        <w:t>买本产品的请联系兴业银行</w:t>
      </w:r>
      <w:r>
        <w:rPr>
          <w:rFonts w:hint="eastAsia" w:ascii="宋体" w:hAnsi="宋体"/>
          <w:sz w:val="18"/>
          <w:szCs w:val="18"/>
        </w:rPr>
        <w:t>，兴业银行客户服务热线：【</w:t>
      </w:r>
      <w:r>
        <w:rPr>
          <w:rFonts w:asciiTheme="minorEastAsia" w:hAnsiTheme="minorEastAsia"/>
          <w:sz w:val="18"/>
          <w:szCs w:val="18"/>
        </w:rPr>
        <w:t>95561</w:t>
      </w:r>
      <w:r>
        <w:rPr>
          <w:rFonts w:hint="eastAsia" w:ascii="宋体" w:hAnsi="宋体"/>
          <w:sz w:val="18"/>
          <w:szCs w:val="18"/>
        </w:rPr>
        <w:t>】；兴业银行门户网站：【</w:t>
      </w:r>
      <w:r>
        <w:rPr>
          <w:rFonts w:asciiTheme="minorEastAsia" w:hAnsiTheme="minorEastAsia"/>
          <w:sz w:val="18"/>
          <w:szCs w:val="18"/>
        </w:rPr>
        <w:t>www.cib.com.cn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通过【        】（作为销售机构）购买本产品的，请联系【            】，【          】客户服务热线：【           】；【          】门户网站：【                  】。</w:t>
      </w: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jc w:val="right"/>
        <w:rPr>
          <w:rFonts w:ascii="宋体" w:hAnsi="宋体"/>
          <w:sz w:val="18"/>
          <w:szCs w:val="18"/>
        </w:rPr>
      </w:pPr>
    </w:p>
    <w:p>
      <w:pPr>
        <w:ind w:right="84" w:rightChars="40"/>
        <w:jc w:val="right"/>
        <w:rPr>
          <w:rFonts w:ascii="宋体" w:hAnsi="宋体"/>
          <w:sz w:val="18"/>
          <w:szCs w:val="18"/>
        </w:rPr>
      </w:pPr>
      <w:r>
        <w:rPr>
          <w:rFonts w:ascii="宋体" w:hAnsi="宋体"/>
          <w:sz w:val="18"/>
          <w:szCs w:val="18"/>
        </w:rPr>
        <w:t xml:space="preserve"> </w:t>
      </w:r>
    </w:p>
    <w:p>
      <w:pPr>
        <w:widowControl/>
        <w:jc w:val="left"/>
        <w:rPr>
          <w:rFonts w:ascii="宋体" w:hAnsi="宋体"/>
          <w:b/>
          <w:sz w:val="28"/>
          <w:szCs w:val="28"/>
        </w:rPr>
      </w:pPr>
      <w:r>
        <w:rPr>
          <w:rFonts w:ascii="宋体" w:hAnsi="宋体"/>
          <w:b/>
          <w:sz w:val="28"/>
          <w:szCs w:val="28"/>
        </w:rPr>
        <w:br w:type="page"/>
      </w:r>
    </w:p>
    <w:p>
      <w:pPr>
        <w:adjustRightInd w:val="0"/>
        <w:spacing w:line="280" w:lineRule="atLeast"/>
        <w:jc w:val="center"/>
        <w:rPr>
          <w:rStyle w:val="27"/>
          <w:rFonts w:hint="eastAsia" w:ascii="黑体" w:hAnsi="黑体" w:eastAsia="黑体"/>
          <w:sz w:val="28"/>
          <w:szCs w:val="28"/>
          <w:lang w:eastAsia="zh-CN"/>
        </w:rPr>
      </w:pPr>
      <w:r>
        <w:rPr>
          <w:rStyle w:val="27"/>
          <w:rFonts w:hint="eastAsia" w:ascii="黑体" w:hAnsi="黑体" w:eastAsia="黑体"/>
          <w:sz w:val="28"/>
          <w:szCs w:val="28"/>
          <w:lang w:eastAsia="zh-CN"/>
        </w:rPr>
        <w:t>兴银理财【稳添利最短持有期日开固收类】理财产品</w:t>
      </w:r>
    </w:p>
    <w:p>
      <w:pPr>
        <w:adjustRightInd w:val="0"/>
        <w:spacing w:line="280" w:lineRule="atLeast"/>
        <w:jc w:val="center"/>
        <w:rPr>
          <w:rStyle w:val="27"/>
          <w:rFonts w:ascii="黑体" w:hAnsi="黑体" w:eastAsia="黑体"/>
          <w:sz w:val="28"/>
          <w:szCs w:val="28"/>
        </w:rPr>
      </w:pPr>
      <w:r>
        <w:rPr>
          <w:rStyle w:val="27"/>
          <w:rFonts w:hint="eastAsia" w:ascii="黑体" w:hAnsi="黑体" w:eastAsia="黑体"/>
          <w:sz w:val="28"/>
          <w:szCs w:val="28"/>
        </w:rPr>
        <w:t>投资者权益须知</w:t>
      </w:r>
    </w:p>
    <w:p>
      <w:pPr>
        <w:pStyle w:val="43"/>
        <w:spacing w:line="280" w:lineRule="atLeast"/>
        <w:jc w:val="center"/>
        <w:rPr>
          <w:rFonts w:hAnsi="宋体"/>
          <w:b/>
          <w:color w:val="auto"/>
          <w:sz w:val="28"/>
          <w:szCs w:val="28"/>
        </w:rPr>
      </w:pPr>
      <w:r>
        <w:rPr>
          <w:rFonts w:hint="eastAsia" w:hAnsi="宋体"/>
          <w:b/>
          <w:color w:val="auto"/>
          <w:sz w:val="28"/>
          <w:szCs w:val="28"/>
        </w:rPr>
        <w:t>（适用于机构投资者：</w:t>
      </w:r>
      <w:r>
        <w:rPr>
          <w:rFonts w:hAnsi="宋体"/>
          <w:b/>
          <w:color w:val="auto"/>
          <w:sz w:val="28"/>
          <w:szCs w:val="28"/>
        </w:rPr>
        <w:t>一般机构客户</w:t>
      </w:r>
      <w:r>
        <w:rPr>
          <w:rFonts w:hint="eastAsia" w:hAnsi="宋体"/>
          <w:b/>
          <w:color w:val="auto"/>
          <w:sz w:val="28"/>
          <w:szCs w:val="28"/>
        </w:rPr>
        <w:t>）</w:t>
      </w:r>
    </w:p>
    <w:p>
      <w:pPr>
        <w:spacing w:line="280" w:lineRule="atLeast"/>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 】以(□ 直销：产品管理人销售/□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spacing w:line="280" w:lineRule="atLeast"/>
        <w:ind w:firstLine="360" w:firstLineChars="200"/>
        <w:rPr>
          <w:rFonts w:ascii="宋体" w:hAnsi="宋体"/>
          <w:sz w:val="18"/>
          <w:szCs w:val="18"/>
        </w:rPr>
      </w:pPr>
    </w:p>
    <w:p>
      <w:pPr>
        <w:spacing w:line="280" w:lineRule="atLeast"/>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spacing w:line="280" w:lineRule="atLeast"/>
        <w:ind w:firstLine="360" w:firstLineChars="200"/>
        <w:rPr>
          <w:rFonts w:ascii="宋体" w:hAnsi="宋体"/>
          <w:sz w:val="18"/>
          <w:szCs w:val="18"/>
        </w:rPr>
      </w:pPr>
      <w:r>
        <w:rPr>
          <w:rFonts w:hint="eastAsia" w:ascii="宋体" w:hAnsi="宋体"/>
          <w:sz w:val="18"/>
          <w:szCs w:val="18"/>
        </w:rPr>
        <w:t>（四）销售机构</w:t>
      </w:r>
      <w:r>
        <w:rPr>
          <w:rFonts w:ascii="宋体" w:hAnsi="宋体"/>
          <w:sz w:val="18"/>
          <w:szCs w:val="18"/>
        </w:rPr>
        <w:t>营业网点或者电子银行（包括但不限于网上银行、电话银行和手机银行）均可办理理财产品的购买手续，但是对于具体理财产品，产品管理人将根据产品风险等级和市场情况自行确定发售渠道。</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1" w:firstLineChars="200"/>
        <w:rPr>
          <w:rFonts w:ascii="宋体" w:hAnsi="宋体"/>
          <w:b/>
          <w:sz w:val="18"/>
          <w:szCs w:val="18"/>
        </w:rPr>
      </w:pPr>
      <w:r>
        <w:rPr>
          <w:rFonts w:hint="eastAsia" w:ascii="宋体" w:hAnsi="宋体"/>
          <w:b/>
          <w:sz w:val="18"/>
          <w:szCs w:val="18"/>
        </w:rPr>
        <w:t>（一）投资者风险承受能力评估说明</w:t>
      </w:r>
    </w:p>
    <w:p>
      <w:pPr>
        <w:spacing w:line="280" w:lineRule="atLeast"/>
        <w:ind w:firstLine="360" w:firstLineChars="200"/>
        <w:rPr>
          <w:rFonts w:ascii="宋体" w:hAnsi="宋体"/>
          <w:sz w:val="18"/>
          <w:szCs w:val="18"/>
        </w:rPr>
      </w:pPr>
      <w:r>
        <w:rPr>
          <w:rFonts w:hint="eastAsia" w:ascii="宋体" w:hAnsi="宋体"/>
          <w:sz w:val="18"/>
          <w:szCs w:val="18"/>
        </w:rPr>
        <w:t>1.您首次购买兴银理财的理财产品前，需要进行风险承受能力评估，填写《机构投资者风险承受能力评估问卷》，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宋体" w:hAnsi="宋体"/>
          <w:b/>
          <w:sz w:val="18"/>
          <w:szCs w:val="18"/>
        </w:rPr>
        <w:t>如影响您风险承受能力的因素发生变化，请您及时重新完成风险承受能力评估。</w:t>
      </w:r>
    </w:p>
    <w:p>
      <w:pPr>
        <w:ind w:firstLine="361" w:firstLineChars="200"/>
        <w:rPr>
          <w:rFonts w:ascii="宋体" w:hAnsi="宋体"/>
          <w:b/>
          <w:sz w:val="18"/>
          <w:szCs w:val="18"/>
        </w:rPr>
      </w:pPr>
      <w:r>
        <w:rPr>
          <w:rFonts w:ascii="宋体" w:hAnsi="宋体"/>
          <w:b/>
          <w:sz w:val="18"/>
          <w:szCs w:val="18"/>
        </w:rPr>
        <w:t>2</w:t>
      </w:r>
      <w:r>
        <w:rPr>
          <w:rFonts w:hint="eastAsia" w:ascii="宋体" w:hAnsi="宋体"/>
          <w:b/>
          <w:sz w:val="18"/>
          <w:szCs w:val="18"/>
        </w:rPr>
        <w:t>. 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投资者风险承受能力，机构投资者由低至高分为【  】</w:t>
      </w:r>
      <w:r>
        <w:rPr>
          <w:rFonts w:ascii="宋体" w:hAnsi="宋体"/>
          <w:sz w:val="18"/>
          <w:szCs w:val="18"/>
        </w:rPr>
        <w:t>。其中，</w:t>
      </w:r>
      <w:r>
        <w:rPr>
          <w:rFonts w:hint="eastAsia" w:ascii="宋体" w:hAnsi="宋体"/>
          <w:sz w:val="18"/>
          <w:szCs w:val="18"/>
        </w:rPr>
        <w:t>【】</w:t>
      </w:r>
      <w:r>
        <w:rPr>
          <w:rFonts w:ascii="宋体" w:hAnsi="宋体"/>
          <w:sz w:val="18"/>
          <w:szCs w:val="18"/>
        </w:rPr>
        <w:t>为风险承受能力最低类别，</w:t>
      </w:r>
      <w:r>
        <w:rPr>
          <w:rFonts w:hint="eastAsia" w:ascii="宋体" w:hAnsi="宋体"/>
          <w:sz w:val="18"/>
          <w:szCs w:val="18"/>
        </w:rPr>
        <w:t>【】</w:t>
      </w:r>
      <w:r>
        <w:rPr>
          <w:rFonts w:ascii="宋体" w:hAnsi="宋体"/>
          <w:sz w:val="18"/>
          <w:szCs w:val="18"/>
        </w:rPr>
        <w:t>为风险承受能力最高类别。风险承受能力评级越高适合购买的理财产品风险评级越高，适合购买的理财产品类型越丰富</w:t>
      </w:r>
      <w:r>
        <w:rPr>
          <w:rFonts w:hint="eastAsia" w:ascii="宋体" w:hAnsi="宋体"/>
          <w:sz w:val="18"/>
          <w:szCs w:val="18"/>
        </w:rPr>
        <w:t>。</w:t>
      </w:r>
      <w:r>
        <w:rPr>
          <w:rFonts w:ascii="宋体" w:hAnsi="宋体"/>
          <w:sz w:val="18"/>
          <w:szCs w:val="18"/>
        </w:rPr>
        <w:t>投资者风险承受能力评级类型与适合购买的理财产品的对应关系为：</w:t>
      </w:r>
    </w:p>
    <w:tbl>
      <w:tblPr>
        <w:tblStyle w:val="24"/>
        <w:tblW w:w="848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77"/>
        <w:gridCol w:w="4840"/>
        <w:gridCol w:w="28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1" w:hRule="atLeast"/>
          <w:jc w:val="center"/>
        </w:trPr>
        <w:tc>
          <w:tcPr>
            <w:tcW w:w="5617" w:type="dxa"/>
            <w:gridSpan w:val="2"/>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理财产品风险评级及风险评级说明</w:t>
            </w:r>
          </w:p>
        </w:tc>
        <w:tc>
          <w:tcPr>
            <w:tcW w:w="2865" w:type="dxa"/>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对应的投资者风险承受能力评级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spacing w:line="280" w:lineRule="atLeast"/>
        <w:ind w:firstLine="361" w:firstLineChars="200"/>
        <w:rPr>
          <w:rFonts w:ascii="宋体" w:hAnsi="宋体"/>
          <w:b/>
          <w:sz w:val="18"/>
          <w:szCs w:val="18"/>
        </w:rPr>
      </w:pPr>
      <w:r>
        <w:rPr>
          <w:rFonts w:hint="eastAsia" w:ascii="宋体" w:hAnsi="宋体"/>
          <w:b/>
          <w:sz w:val="18"/>
          <w:szCs w:val="18"/>
        </w:rPr>
        <w:t>三、关于理财产品的信息披露</w:t>
      </w:r>
    </w:p>
    <w:p>
      <w:pPr>
        <w:spacing w:line="280" w:lineRule="atLeast"/>
        <w:ind w:firstLine="360" w:firstLineChars="200"/>
        <w:rPr>
          <w:rFonts w:asciiTheme="minorEastAsia" w:hAnsiTheme="minorEastAsia"/>
          <w:sz w:val="18"/>
          <w:szCs w:val="18"/>
        </w:rPr>
      </w:pPr>
      <w:r>
        <w:rPr>
          <w:rFonts w:hint="eastAsia" w:asciiTheme="minorEastAsia" w:hAnsiTheme="minorEastAsia"/>
          <w:sz w:val="18"/>
          <w:szCs w:val="18"/>
        </w:rPr>
        <w:t>理财产品的信息披露将通过兴业</w:t>
      </w:r>
      <w:r>
        <w:rPr>
          <w:rFonts w:asciiTheme="minorEastAsia" w:hAnsiTheme="minorEastAsia"/>
          <w:sz w:val="18"/>
          <w:szCs w:val="18"/>
        </w:rPr>
        <w:t>银行</w:t>
      </w:r>
      <w:r>
        <w:rPr>
          <w:rFonts w:hint="eastAsia" w:asciiTheme="minorEastAsia" w:hAnsiTheme="minorEastAsia"/>
          <w:sz w:val="18"/>
          <w:szCs w:val="18"/>
        </w:rPr>
        <w:t>或销售机构</w:t>
      </w:r>
      <w:r>
        <w:rPr>
          <w:rFonts w:hint="eastAsia" w:ascii="宋体" w:hAnsi="宋体"/>
          <w:bCs/>
          <w:sz w:val="18"/>
          <w:szCs w:val="18"/>
        </w:rPr>
        <w:t>的信息披露渠道（包括但不限于兴业</w:t>
      </w:r>
      <w:r>
        <w:rPr>
          <w:rFonts w:ascii="宋体" w:hAnsi="宋体"/>
          <w:bCs/>
          <w:sz w:val="18"/>
          <w:szCs w:val="18"/>
        </w:rPr>
        <w:t>银行</w:t>
      </w:r>
      <w:r>
        <w:rPr>
          <w:rFonts w:hint="eastAsia" w:ascii="宋体" w:hAnsi="宋体"/>
          <w:bCs/>
          <w:sz w:val="18"/>
          <w:szCs w:val="18"/>
        </w:rPr>
        <w:t>或销售机构的营业网点、门户网站、电子销售渠道等）进行。</w:t>
      </w:r>
      <w:r>
        <w:rPr>
          <w:rFonts w:asciiTheme="minorEastAsia" w:hAnsiTheme="minorEastAsia"/>
          <w:sz w:val="18"/>
          <w:szCs w:val="18"/>
        </w:rPr>
        <w:t>具体</w:t>
      </w:r>
      <w:r>
        <w:rPr>
          <w:rFonts w:hint="eastAsia" w:asciiTheme="minorEastAsia" w:hAnsiTheme="minorEastAsia"/>
          <w:sz w:val="18"/>
          <w:szCs w:val="18"/>
        </w:rPr>
        <w:t>信息披露内容</w:t>
      </w:r>
      <w:r>
        <w:rPr>
          <w:rFonts w:asciiTheme="minorEastAsia" w:hAnsiTheme="minorEastAsia"/>
          <w:sz w:val="18"/>
          <w:szCs w:val="18"/>
        </w:rPr>
        <w:t>以《产品说明书》中“信息披露</w:t>
      </w:r>
      <w:r>
        <w:rPr>
          <w:rFonts w:hint="eastAsia" w:asciiTheme="minorEastAsia" w:hAnsiTheme="minorEastAsia"/>
          <w:sz w:val="18"/>
          <w:szCs w:val="18"/>
        </w:rPr>
        <w:t xml:space="preserve">”约定为准。  </w:t>
      </w:r>
    </w:p>
    <w:p>
      <w:pPr>
        <w:spacing w:line="280" w:lineRule="atLeast"/>
        <w:ind w:firstLine="360" w:firstLineChars="200"/>
        <w:rPr>
          <w:rFonts w:asciiTheme="minorEastAsia" w:hAnsiTheme="minorEastAsia"/>
          <w:sz w:val="18"/>
          <w:szCs w:val="18"/>
        </w:rPr>
      </w:pPr>
      <w:r>
        <w:rPr>
          <w:rFonts w:hint="eastAsia" w:asciiTheme="minorEastAsia" w:hAnsiTheme="minorEastAsia"/>
          <w:sz w:val="18"/>
          <w:szCs w:val="18"/>
        </w:rPr>
        <w:t xml:space="preserve"> </w:t>
      </w:r>
      <w:r>
        <w:rPr>
          <w:rFonts w:hint="eastAsia" w:ascii="宋体" w:hAnsi="宋体"/>
          <w:b/>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兴银理财客户服务热线：40015-95561。</w:t>
      </w:r>
    </w:p>
    <w:p>
      <w:pPr>
        <w:spacing w:line="280" w:lineRule="atLeast"/>
        <w:ind w:firstLine="360" w:firstLineChars="200"/>
        <w:rPr>
          <w:rFonts w:ascii="宋体" w:hAnsi="宋体"/>
          <w:sz w:val="18"/>
          <w:szCs w:val="18"/>
        </w:rPr>
      </w:pPr>
      <w:r>
        <w:rPr>
          <w:rFonts w:hint="eastAsia" w:ascii="宋体" w:hAnsi="宋体"/>
          <w:sz w:val="18"/>
          <w:szCs w:val="18"/>
        </w:rPr>
        <w:t>通过兴业银行（作为销售机构）购</w:t>
      </w:r>
      <w:r>
        <w:rPr>
          <w:rFonts w:ascii="宋体" w:hAnsi="宋体"/>
          <w:sz w:val="18"/>
          <w:szCs w:val="18"/>
        </w:rPr>
        <w:t>买本产品的</w:t>
      </w:r>
      <w:r>
        <w:rPr>
          <w:rFonts w:hint="eastAsia" w:ascii="宋体" w:hAnsi="宋体"/>
          <w:sz w:val="18"/>
          <w:szCs w:val="18"/>
        </w:rPr>
        <w:t>，</w:t>
      </w:r>
      <w:r>
        <w:rPr>
          <w:rFonts w:ascii="宋体" w:hAnsi="宋体"/>
          <w:sz w:val="18"/>
          <w:szCs w:val="18"/>
        </w:rPr>
        <w:t>请联系兴业银行</w:t>
      </w:r>
      <w:r>
        <w:rPr>
          <w:rFonts w:hint="eastAsia" w:ascii="宋体" w:hAnsi="宋体"/>
          <w:sz w:val="18"/>
          <w:szCs w:val="18"/>
        </w:rPr>
        <w:t>，兴业银行客户服务热线：【</w:t>
      </w:r>
      <w:r>
        <w:rPr>
          <w:rFonts w:asciiTheme="minorEastAsia" w:hAnsiTheme="minorEastAsia"/>
          <w:sz w:val="18"/>
          <w:szCs w:val="18"/>
        </w:rPr>
        <w:t>95561</w:t>
      </w:r>
      <w:r>
        <w:rPr>
          <w:rFonts w:hint="eastAsia" w:ascii="宋体" w:hAnsi="宋体"/>
          <w:sz w:val="18"/>
          <w:szCs w:val="18"/>
        </w:rPr>
        <w:t>】；兴业银行门户网站：【</w:t>
      </w:r>
      <w:r>
        <w:rPr>
          <w:rFonts w:asciiTheme="minorEastAsia" w:hAnsiTheme="minorEastAsia"/>
          <w:sz w:val="18"/>
          <w:szCs w:val="18"/>
        </w:rPr>
        <w:t>www.cib.com.cn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通过【        】（作为销售机构）购买本产品的，请联系【            】，【          】客户服务热线：【           】；【          】门户网站：【                  】。</w:t>
      </w:r>
    </w:p>
    <w:p>
      <w:pPr>
        <w:autoSpaceDE w:val="0"/>
        <w:autoSpaceDN w:val="0"/>
        <w:adjustRightInd w:val="0"/>
        <w:spacing w:line="280" w:lineRule="atLeast"/>
        <w:jc w:val="left"/>
        <w:rPr>
          <w:rFonts w:ascii="仿宋_GB2312" w:eastAsia="仿宋_GB2312" w:cs="仿宋_GB2312"/>
          <w:color w:val="000000"/>
          <w:kern w:val="0"/>
          <w:sz w:val="24"/>
          <w:szCs w:val="24"/>
        </w:rPr>
      </w:pPr>
    </w:p>
    <w:p>
      <w:pPr>
        <w:autoSpaceDE w:val="0"/>
        <w:autoSpaceDN w:val="0"/>
        <w:adjustRightInd w:val="0"/>
        <w:spacing w:line="280" w:lineRule="atLeast"/>
        <w:jc w:val="left"/>
        <w:rPr>
          <w:rFonts w:ascii="仿宋_GB2312" w:eastAsia="仿宋_GB2312" w:cs="仿宋_GB2312"/>
          <w:color w:val="000000"/>
          <w:kern w:val="0"/>
          <w:sz w:val="24"/>
          <w:szCs w:val="24"/>
        </w:rPr>
      </w:pPr>
    </w:p>
    <w:p>
      <w:pPr>
        <w:spacing w:line="280" w:lineRule="atLeast"/>
        <w:jc w:val="right"/>
        <w:rPr>
          <w:rFonts w:ascii="宋体" w:hAnsi="宋体"/>
          <w:sz w:val="18"/>
          <w:szCs w:val="18"/>
        </w:rPr>
      </w:pPr>
    </w:p>
    <w:p>
      <w:pPr>
        <w:spacing w:line="280" w:lineRule="atLeast"/>
        <w:ind w:right="84" w:rightChars="40"/>
        <w:jc w:val="right"/>
        <w:rPr>
          <w:rFonts w:ascii="宋体" w:hAnsi="宋体"/>
          <w:sz w:val="18"/>
          <w:szCs w:val="18"/>
        </w:rPr>
      </w:pPr>
    </w:p>
    <w:p>
      <w:pPr>
        <w:widowControl/>
        <w:spacing w:line="280" w:lineRule="atLeast"/>
        <w:jc w:val="left"/>
        <w:rPr>
          <w:rFonts w:ascii="宋体" w:hAnsi="宋体"/>
          <w:b/>
          <w:sz w:val="28"/>
          <w:szCs w:val="28"/>
        </w:rPr>
      </w:pPr>
      <w:r>
        <w:rPr>
          <w:rFonts w:ascii="宋体" w:hAnsi="宋体"/>
          <w:b/>
          <w:sz w:val="28"/>
          <w:szCs w:val="28"/>
        </w:rPr>
        <w:br w:type="page"/>
      </w:r>
    </w:p>
    <w:p>
      <w:pPr>
        <w:adjustRightInd w:val="0"/>
        <w:spacing w:line="276" w:lineRule="auto"/>
        <w:jc w:val="center"/>
        <w:rPr>
          <w:rStyle w:val="27"/>
          <w:rFonts w:hint="eastAsia" w:ascii="黑体" w:hAnsi="黑体" w:eastAsia="黑体"/>
          <w:sz w:val="28"/>
          <w:szCs w:val="28"/>
          <w:lang w:eastAsia="zh-CN"/>
        </w:rPr>
      </w:pPr>
      <w:r>
        <w:rPr>
          <w:rStyle w:val="27"/>
          <w:rFonts w:hint="eastAsia" w:ascii="黑体" w:hAnsi="黑体" w:eastAsia="黑体"/>
          <w:sz w:val="28"/>
          <w:szCs w:val="28"/>
          <w:lang w:eastAsia="zh-CN"/>
        </w:rPr>
        <w:t>兴银理财【稳添利最短持有期日开固收类】理财产品</w:t>
      </w:r>
    </w:p>
    <w:p>
      <w:pPr>
        <w:adjustRightInd w:val="0"/>
        <w:spacing w:line="276" w:lineRule="auto"/>
        <w:jc w:val="center"/>
        <w:rPr>
          <w:rStyle w:val="27"/>
          <w:rFonts w:ascii="黑体" w:hAnsi="黑体" w:eastAsia="黑体"/>
          <w:sz w:val="28"/>
          <w:szCs w:val="28"/>
        </w:rPr>
      </w:pPr>
      <w:r>
        <w:rPr>
          <w:rStyle w:val="27"/>
          <w:rFonts w:hint="eastAsia" w:ascii="黑体" w:hAnsi="黑体" w:eastAsia="黑体"/>
          <w:sz w:val="28"/>
          <w:szCs w:val="28"/>
        </w:rPr>
        <w:t>投资者权益须知</w:t>
      </w:r>
    </w:p>
    <w:p>
      <w:pPr>
        <w:pStyle w:val="43"/>
        <w:jc w:val="center"/>
        <w:rPr>
          <w:rFonts w:hAnsi="宋体"/>
          <w:b/>
          <w:color w:val="auto"/>
          <w:sz w:val="28"/>
          <w:szCs w:val="28"/>
        </w:rPr>
      </w:pPr>
      <w:r>
        <w:rPr>
          <w:rFonts w:hint="eastAsia" w:hAnsi="宋体"/>
          <w:b/>
          <w:color w:val="auto"/>
          <w:sz w:val="28"/>
          <w:szCs w:val="28"/>
        </w:rPr>
        <w:t>（适用于机构投资者：金融</w:t>
      </w:r>
      <w:r>
        <w:rPr>
          <w:rFonts w:hAnsi="宋体"/>
          <w:b/>
          <w:color w:val="auto"/>
          <w:sz w:val="28"/>
          <w:szCs w:val="28"/>
        </w:rPr>
        <w:t>同业客户</w:t>
      </w:r>
      <w:r>
        <w:rPr>
          <w:rFonts w:hint="eastAsia" w:hAnsi="宋体"/>
          <w:b/>
          <w:color w:val="auto"/>
          <w:sz w:val="28"/>
          <w:szCs w:val="28"/>
        </w:rPr>
        <w:t>）</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感谢您通过销售机构【】以(□ 直销：产品管理人销售/□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1" w:firstLineChars="200"/>
        <w:rPr>
          <w:rFonts w:ascii="宋体" w:hAnsi="宋体"/>
          <w:b/>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spacing w:line="280" w:lineRule="atLeast"/>
        <w:ind w:firstLine="360" w:firstLineChars="200"/>
        <w:rPr>
          <w:rFonts w:ascii="宋体" w:hAnsi="宋体"/>
          <w:sz w:val="18"/>
          <w:szCs w:val="18"/>
        </w:rPr>
      </w:pPr>
      <w:r>
        <w:rPr>
          <w:rFonts w:hint="eastAsia" w:ascii="宋体" w:hAnsi="宋体"/>
          <w:sz w:val="18"/>
          <w:szCs w:val="18"/>
        </w:rPr>
        <w:t>（四）销售机构</w:t>
      </w:r>
      <w:r>
        <w:rPr>
          <w:rFonts w:ascii="宋体" w:hAnsi="宋体"/>
          <w:sz w:val="18"/>
          <w:szCs w:val="18"/>
        </w:rPr>
        <w:t>营业网点或者电子银行（包括但不限于网上银行、电话银行和手机银行）均可办理理财产品的购买手续，但是对于具体理财产品，产品管理人将根据产品风险等级和市场情况自行确定发售渠道。</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0" w:firstLineChars="200"/>
        <w:rPr>
          <w:rFonts w:ascii="宋体" w:hAnsi="宋体"/>
          <w:sz w:val="18"/>
          <w:szCs w:val="18"/>
        </w:rPr>
      </w:pPr>
      <w:r>
        <w:rPr>
          <w:rFonts w:hint="eastAsia" w:ascii="宋体" w:hAnsi="宋体"/>
          <w:sz w:val="18"/>
          <w:szCs w:val="18"/>
        </w:rPr>
        <w:t>鉴于您为金融同业客户，销售机构暂不对您进行风险承受能力评估，请您根据您自身的</w:t>
      </w:r>
      <w:r>
        <w:rPr>
          <w:rFonts w:ascii="宋体" w:hAnsi="宋体"/>
          <w:sz w:val="18"/>
          <w:szCs w:val="18"/>
        </w:rPr>
        <w:t>风险承受能力购买</w:t>
      </w:r>
      <w:r>
        <w:rPr>
          <w:rFonts w:hint="eastAsia" w:ascii="宋体" w:hAnsi="宋体"/>
          <w:sz w:val="18"/>
          <w:szCs w:val="18"/>
        </w:rPr>
        <w:t>产品风险评级适合您的</w:t>
      </w:r>
      <w:r>
        <w:rPr>
          <w:rFonts w:ascii="宋体" w:hAnsi="宋体"/>
          <w:sz w:val="18"/>
          <w:szCs w:val="18"/>
        </w:rPr>
        <w:t>理财产品</w:t>
      </w:r>
      <w:r>
        <w:rPr>
          <w:rFonts w:hint="eastAsia" w:ascii="宋体" w:hAnsi="宋体"/>
          <w:sz w:val="18"/>
          <w:szCs w:val="18"/>
        </w:rPr>
        <w:t>。</w:t>
      </w:r>
    </w:p>
    <w:p>
      <w:pPr>
        <w:ind w:firstLine="361" w:firstLineChars="200"/>
        <w:rPr>
          <w:rFonts w:ascii="宋体" w:hAnsi="宋体"/>
          <w:b/>
          <w:sz w:val="18"/>
          <w:szCs w:val="18"/>
        </w:rPr>
      </w:pPr>
      <w:r>
        <w:rPr>
          <w:rFonts w:hint="eastAsia" w:ascii="宋体" w:hAnsi="宋体"/>
          <w:b/>
          <w:sz w:val="18"/>
          <w:szCs w:val="18"/>
        </w:rPr>
        <w:t>三、关于理财产品的信息披露</w:t>
      </w:r>
    </w:p>
    <w:p>
      <w:pPr>
        <w:spacing w:line="280" w:lineRule="atLeast"/>
        <w:ind w:firstLine="360" w:firstLineChars="200"/>
        <w:rPr>
          <w:rFonts w:asciiTheme="minorEastAsia" w:hAnsiTheme="minorEastAsia"/>
          <w:sz w:val="18"/>
          <w:szCs w:val="18"/>
        </w:rPr>
      </w:pPr>
      <w:r>
        <w:rPr>
          <w:rFonts w:hint="eastAsia" w:asciiTheme="minorEastAsia" w:hAnsiTheme="minorEastAsia"/>
          <w:sz w:val="18"/>
          <w:szCs w:val="18"/>
        </w:rPr>
        <w:t>理财产品的信息披露将通过兴业</w:t>
      </w:r>
      <w:r>
        <w:rPr>
          <w:rFonts w:asciiTheme="minorEastAsia" w:hAnsiTheme="minorEastAsia"/>
          <w:sz w:val="18"/>
          <w:szCs w:val="18"/>
        </w:rPr>
        <w:t>银行</w:t>
      </w:r>
      <w:r>
        <w:rPr>
          <w:rFonts w:hint="eastAsia" w:asciiTheme="minorEastAsia" w:hAnsiTheme="minorEastAsia"/>
          <w:sz w:val="18"/>
          <w:szCs w:val="18"/>
        </w:rPr>
        <w:t>或销售机构</w:t>
      </w:r>
      <w:r>
        <w:rPr>
          <w:rFonts w:hint="eastAsia" w:ascii="宋体" w:hAnsi="宋体"/>
          <w:bCs/>
          <w:sz w:val="18"/>
          <w:szCs w:val="18"/>
        </w:rPr>
        <w:t>的信息披露渠道（包括但不限于兴业</w:t>
      </w:r>
      <w:r>
        <w:rPr>
          <w:rFonts w:ascii="宋体" w:hAnsi="宋体"/>
          <w:bCs/>
          <w:sz w:val="18"/>
          <w:szCs w:val="18"/>
        </w:rPr>
        <w:t>银行</w:t>
      </w:r>
      <w:r>
        <w:rPr>
          <w:rFonts w:hint="eastAsia" w:ascii="宋体" w:hAnsi="宋体"/>
          <w:bCs/>
          <w:sz w:val="18"/>
          <w:szCs w:val="18"/>
        </w:rPr>
        <w:t>或销售机构的营业网点、门户网站、电子销售渠道等）进行。</w:t>
      </w:r>
      <w:r>
        <w:rPr>
          <w:rFonts w:asciiTheme="minorEastAsia" w:hAnsiTheme="minorEastAsia"/>
          <w:sz w:val="18"/>
          <w:szCs w:val="18"/>
        </w:rPr>
        <w:t>具体</w:t>
      </w:r>
      <w:r>
        <w:rPr>
          <w:rFonts w:hint="eastAsia" w:asciiTheme="minorEastAsia" w:hAnsiTheme="minorEastAsia"/>
          <w:sz w:val="18"/>
          <w:szCs w:val="18"/>
        </w:rPr>
        <w:t>信息披露内容</w:t>
      </w:r>
      <w:r>
        <w:rPr>
          <w:rFonts w:asciiTheme="minorEastAsia" w:hAnsiTheme="minorEastAsia"/>
          <w:sz w:val="18"/>
          <w:szCs w:val="18"/>
        </w:rPr>
        <w:t>以《产品说明书》中“信息披露</w:t>
      </w:r>
      <w:r>
        <w:rPr>
          <w:rFonts w:hint="eastAsia" w:asciiTheme="minorEastAsia" w:hAnsiTheme="minorEastAsia"/>
          <w:sz w:val="18"/>
          <w:szCs w:val="18"/>
        </w:rPr>
        <w:t xml:space="preserve">”约定为准。  </w:t>
      </w:r>
    </w:p>
    <w:p>
      <w:pPr>
        <w:ind w:firstLine="361" w:firstLineChars="200"/>
        <w:rPr>
          <w:rFonts w:asciiTheme="minorEastAsia" w:hAnsiTheme="minorEastAsia"/>
          <w:b/>
          <w:bCs/>
          <w:sz w:val="18"/>
          <w:szCs w:val="18"/>
        </w:rPr>
      </w:pPr>
      <w:r>
        <w:rPr>
          <w:rFonts w:hint="eastAsia" w:ascii="宋体" w:hAnsi="宋体"/>
          <w:b/>
          <w:bCs/>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兴银理财客户服务热线：40015-95561。</w:t>
      </w:r>
    </w:p>
    <w:p>
      <w:pPr>
        <w:spacing w:line="280" w:lineRule="atLeast"/>
        <w:ind w:firstLine="360" w:firstLineChars="200"/>
        <w:rPr>
          <w:rFonts w:ascii="宋体" w:hAnsi="宋体"/>
          <w:sz w:val="18"/>
          <w:szCs w:val="18"/>
        </w:rPr>
      </w:pPr>
      <w:r>
        <w:rPr>
          <w:rFonts w:hint="eastAsia" w:ascii="宋体" w:hAnsi="宋体"/>
          <w:sz w:val="18"/>
          <w:szCs w:val="18"/>
        </w:rPr>
        <w:t>通过兴业银行（作为销售机构）购</w:t>
      </w:r>
      <w:r>
        <w:rPr>
          <w:rFonts w:ascii="宋体" w:hAnsi="宋体"/>
          <w:sz w:val="18"/>
          <w:szCs w:val="18"/>
        </w:rPr>
        <w:t>买本产品的</w:t>
      </w:r>
      <w:r>
        <w:rPr>
          <w:rFonts w:hint="eastAsia" w:ascii="宋体" w:hAnsi="宋体"/>
          <w:sz w:val="18"/>
          <w:szCs w:val="18"/>
        </w:rPr>
        <w:t>，</w:t>
      </w:r>
      <w:r>
        <w:rPr>
          <w:rFonts w:ascii="宋体" w:hAnsi="宋体"/>
          <w:sz w:val="18"/>
          <w:szCs w:val="18"/>
        </w:rPr>
        <w:t>请联系兴业银行</w:t>
      </w:r>
      <w:r>
        <w:rPr>
          <w:rFonts w:hint="eastAsia" w:ascii="宋体" w:hAnsi="宋体"/>
          <w:sz w:val="18"/>
          <w:szCs w:val="18"/>
        </w:rPr>
        <w:t>，兴业银行客户服务热线：【</w:t>
      </w:r>
      <w:r>
        <w:rPr>
          <w:rFonts w:asciiTheme="minorEastAsia" w:hAnsiTheme="minorEastAsia"/>
          <w:sz w:val="18"/>
          <w:szCs w:val="18"/>
        </w:rPr>
        <w:t>95561</w:t>
      </w:r>
      <w:r>
        <w:rPr>
          <w:rFonts w:hint="eastAsia" w:ascii="宋体" w:hAnsi="宋体"/>
          <w:sz w:val="18"/>
          <w:szCs w:val="18"/>
        </w:rPr>
        <w:t>】；兴业银行门户网站：【</w:t>
      </w:r>
      <w:r>
        <w:rPr>
          <w:rFonts w:asciiTheme="minorEastAsia" w:hAnsiTheme="minorEastAsia"/>
          <w:sz w:val="18"/>
          <w:szCs w:val="18"/>
        </w:rPr>
        <w:t>www.cib.com.cn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通过【        】（作为销售机构）购买本产品的，请联系【            】，【          】客户服务热线：【           】；【          】门户网站：【                  】。</w:t>
      </w:r>
    </w:p>
    <w:p/>
    <w:p>
      <w:pPr>
        <w:spacing w:line="360" w:lineRule="auto"/>
        <w:jc w:val="left"/>
        <w:rPr>
          <w:rFonts w:hint="eastAsia" w:ascii="宋体" w:hAnsi="宋体"/>
          <w:b/>
          <w:sz w:val="18"/>
          <w:szCs w:val="18"/>
        </w:rPr>
      </w:pPr>
    </w:p>
    <w:bookmarkEnd w:id="243"/>
    <w:sectPr>
      <w:headerReference r:id="rId17" w:type="default"/>
      <w:footerReference r:id="rId18"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872"/>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6</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872"/>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6</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黑体" w:hAnsi="黑体" w:eastAsia="黑体"/>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黑体" w:hAnsi="黑体" w:eastAsia="黑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黑体" w:hAnsi="黑体" w:eastAsia="黑体"/>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715647"/>
    </w:sdtPr>
    <w:sdtContent>
      <w:p>
        <w:pPr>
          <w:pStyle w:val="14"/>
          <w:jc w:val="center"/>
        </w:pPr>
        <w:r>
          <w:fldChar w:fldCharType="begin"/>
        </w:r>
        <w:r>
          <w:instrText xml:space="preserve"> PAGE   \* MERGEFORMAT </w:instrText>
        </w:r>
        <w:r>
          <w:fldChar w:fldCharType="separate"/>
        </w:r>
        <w:r>
          <w:rPr>
            <w:lang w:val="zh-CN"/>
          </w:rPr>
          <w:t>7</w:t>
        </w:r>
        <w:r>
          <w:fldChar w:fldCharType="end"/>
        </w:r>
      </w:p>
    </w:sdtContent>
  </w:sdt>
  <w:p>
    <w:pPr>
      <w:pStyle w:val="8"/>
      <w:jc w:val="both"/>
      <w:rPr>
        <w:rFonts w:ascii="黑体" w:hAnsi="黑体" w:eastAsia="黑体"/>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3017656"/>
    </w:sdtPr>
    <w:sdtContent>
      <w:p>
        <w:pPr>
          <w:pStyle w:val="14"/>
          <w:jc w:val="center"/>
        </w:pPr>
        <w:r>
          <w:fldChar w:fldCharType="begin"/>
        </w:r>
        <w:r>
          <w:instrText xml:space="preserve">PAGE   \* MERGEFORMAT</w:instrText>
        </w:r>
        <w:r>
          <w:fldChar w:fldCharType="separate"/>
        </w:r>
        <w:r>
          <w:rPr>
            <w:lang w:val="zh-CN"/>
          </w:rPr>
          <w:t>3</w:t>
        </w:r>
        <w:r>
          <w:fldChar w:fldCharType="end"/>
        </w:r>
      </w:p>
    </w:sdtContent>
  </w:sdt>
  <w:p>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3017656"/>
    </w:sdtPr>
    <w:sdtContent>
      <w:p>
        <w:pPr>
          <w:pStyle w:val="14"/>
          <w:jc w:val="center"/>
        </w:pPr>
        <w:r>
          <w:fldChar w:fldCharType="begin"/>
        </w:r>
        <w:r>
          <w:instrText xml:space="preserve">PAGE   \* MERGEFORMAT</w:instrText>
        </w:r>
        <w:r>
          <w:fldChar w:fldCharType="separate"/>
        </w:r>
        <w:r>
          <w:rPr>
            <w:lang w:val="zh-CN"/>
          </w:rPr>
          <w:t>3</w:t>
        </w:r>
        <w:r>
          <w:fldChar w:fldCharType="end"/>
        </w:r>
      </w:p>
    </w:sdtContent>
  </w:sdt>
  <w:p>
    <w:pPr>
      <w:pStyle w:val="1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3202528"/>
      <w:docPartObj>
        <w:docPartGallery w:val="autotext"/>
      </w:docPartObj>
    </w:sdtPr>
    <w:sdtContent>
      <w:p>
        <w:pPr>
          <w:pStyle w:val="14"/>
          <w:jc w:val="center"/>
        </w:pPr>
        <w:r>
          <w:rPr>
            <w:rFonts w:hint="eastAsia"/>
          </w:rPr>
          <w:t>第</w:t>
        </w:r>
        <w:r>
          <w:fldChar w:fldCharType="begin"/>
        </w:r>
        <w:r>
          <w:instrText xml:space="preserve">PAGE   \* MERGEFORMAT</w:instrText>
        </w:r>
        <w:r>
          <w:fldChar w:fldCharType="separate"/>
        </w:r>
        <w:r>
          <w:rPr>
            <w:lang w:val="zh-CN"/>
          </w:rPr>
          <w:t>1</w:t>
        </w:r>
        <w:r>
          <w:fldChar w:fldCharType="end"/>
        </w:r>
        <w:r>
          <w:rPr>
            <w:rFonts w:hint="eastAsia"/>
          </w:rPr>
          <w:t>页</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jc w:val="right"/>
      <w:rPr>
        <w:b/>
      </w:rPr>
    </w:pPr>
    <w:r>
      <w:rPr>
        <w:rFonts w:hint="eastAsia"/>
        <w:b/>
      </w:rPr>
      <w:t>投资协议书</w:t>
    </w:r>
  </w:p>
  <w:p>
    <w:pPr>
      <w:pStyle w:val="15"/>
      <w:pBdr>
        <w:bottom w:val="thickThinLargeGap" w:color="auto" w:sz="24" w:space="10"/>
      </w:pBdr>
      <w:tabs>
        <w:tab w:val="right" w:pos="8280"/>
      </w:tabs>
      <w:wordWrap w:val="0"/>
      <w:adjustRightInd w:val="0"/>
      <w:jc w:val="right"/>
      <w:rPr>
        <w:b/>
      </w:rPr>
    </w:pPr>
    <w:r>
      <w:rPr>
        <w:rFonts w:hint="eastAsia"/>
        <w:b/>
      </w:rPr>
      <w:t>注：本文件由兴银理财有限责任公司统一编制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jc w:val="right"/>
      <w:rPr>
        <w:b/>
      </w:rPr>
    </w:pPr>
    <w:r>
      <w:rPr>
        <w:rFonts w:hint="eastAsia"/>
        <w:b/>
      </w:rPr>
      <w:t>投资协议书</w:t>
    </w:r>
  </w:p>
  <w:p>
    <w:pPr>
      <w:pStyle w:val="15"/>
      <w:pBdr>
        <w:bottom w:val="thickThinLargeGap" w:color="auto" w:sz="24" w:space="10"/>
      </w:pBdr>
      <w:tabs>
        <w:tab w:val="right" w:pos="8280"/>
      </w:tabs>
      <w:wordWrap w:val="0"/>
      <w:adjustRightInd w:val="0"/>
      <w:jc w:val="right"/>
      <w:rPr>
        <w:b/>
      </w:rPr>
    </w:pPr>
    <w:r>
      <w:rPr>
        <w:rFonts w:hint="eastAsia"/>
        <w:b/>
      </w:rPr>
      <w:t>注：本文件由兴银理财有限责任公司统一编制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0"/>
      </w:pBdr>
      <w:tabs>
        <w:tab w:val="right" w:pos="8280"/>
      </w:tabs>
      <w:wordWrap w:val="0"/>
      <w:adjustRightInd w:val="0"/>
      <w:jc w:val="right"/>
      <w:rPr>
        <w:b/>
      </w:rPr>
    </w:pPr>
    <w:r>
      <w:rPr>
        <w:rFonts w:hint="eastAsia"/>
      </w:rPr>
      <w:t xml:space="preserve"> </w:t>
    </w:r>
    <w:r>
      <w:rPr>
        <w:rFonts w:hint="eastAsia"/>
        <w:b/>
      </w:rPr>
      <w:t>产品说明书</w:t>
    </w:r>
  </w:p>
  <w:p>
    <w:pPr>
      <w:pStyle w:val="15"/>
      <w:pBdr>
        <w:bottom w:val="thickThinLargeGap" w:color="auto" w:sz="24" w:space="0"/>
      </w:pBdr>
      <w:tabs>
        <w:tab w:val="right" w:pos="8280"/>
      </w:tabs>
      <w:adjustRightInd w:val="0"/>
      <w:jc w:val="right"/>
    </w:pPr>
    <w:r>
      <w:rPr>
        <w:rFonts w:hint="eastAsia"/>
        <w:b/>
      </w:rPr>
      <w:t>注：本文件由兴银理财有限责任公司统一编制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0"/>
      </w:pBdr>
      <w:tabs>
        <w:tab w:val="right" w:pos="8280"/>
      </w:tabs>
      <w:wordWrap w:val="0"/>
      <w:adjustRightInd w:val="0"/>
      <w:jc w:val="right"/>
      <w:rPr>
        <w:b/>
      </w:rPr>
    </w:pPr>
    <w:r>
      <w:rPr>
        <w:rFonts w:hint="eastAsia"/>
      </w:rPr>
      <w:t xml:space="preserve"> </w:t>
    </w:r>
    <w:r>
      <w:rPr>
        <w:rFonts w:hint="eastAsia"/>
        <w:b/>
      </w:rPr>
      <w:t>产品说明书</w:t>
    </w:r>
  </w:p>
  <w:p>
    <w:pPr>
      <w:pStyle w:val="15"/>
      <w:pBdr>
        <w:bottom w:val="thickThinLargeGap" w:color="auto" w:sz="24" w:space="0"/>
      </w:pBdr>
      <w:tabs>
        <w:tab w:val="right" w:pos="8280"/>
      </w:tabs>
      <w:adjustRightInd w:val="0"/>
      <w:jc w:val="right"/>
    </w:pPr>
    <w:r>
      <w:rPr>
        <w:rFonts w:hint="eastAsia"/>
        <w:b/>
      </w:rPr>
      <w:t>注：本文件由兴银理财有限责任公司统一编制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（代理）销售协议书</w:t>
    </w:r>
  </w:p>
  <w:p>
    <w:pPr>
      <w:pStyle w:val="15"/>
      <w:pBdr>
        <w:bottom w:val="thickThinLargeGap" w:color="auto" w:sz="24" w:space="10"/>
      </w:pBdr>
      <w:tabs>
        <w:tab w:val="right" w:pos="8280"/>
      </w:tabs>
      <w:wordWrap w:val="0"/>
      <w:adjustRightInd w:val="0"/>
      <w:jc w:val="right"/>
      <w:rPr>
        <w:b/>
      </w:rPr>
    </w:pPr>
    <w:r>
      <w:rPr>
        <w:rFonts w:hint="eastAsia"/>
        <w:b/>
      </w:rPr>
      <w:t>本文件由兴银理财有限责任公司统一编制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ind w:firstLine="180" w:firstLineChars="100"/>
      <w:jc w:val="right"/>
    </w:pPr>
    <w:r>
      <w:rPr>
        <w:rFonts w:hint="eastAsia"/>
      </w:rPr>
      <w:t>风险揭示书</w:t>
    </w:r>
  </w:p>
  <w:p>
    <w:pPr>
      <w:pStyle w:val="15"/>
      <w:pBdr>
        <w:bottom w:val="thickThinLargeGap" w:color="auto" w:sz="24" w:space="10"/>
      </w:pBdr>
      <w:tabs>
        <w:tab w:val="right" w:pos="8280"/>
      </w:tabs>
      <w:wordWrap w:val="0"/>
      <w:adjustRightInd w:val="0"/>
      <w:ind w:firstLine="180" w:firstLineChars="100"/>
      <w:jc w:val="right"/>
    </w:pPr>
    <w:r>
      <w:t>注</w:t>
    </w:r>
    <w:r>
      <w:rPr>
        <w:rFonts w:hint="eastAsia"/>
      </w:rPr>
      <w:t>：</w:t>
    </w:r>
    <w:r>
      <w:t>本文件由兴银理财有限责任公司统一编制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ind w:firstLine="180" w:firstLineChars="100"/>
      <w:jc w:val="right"/>
    </w:pPr>
    <w:r>
      <w:rPr>
        <w:rFonts w:hint="eastAsia"/>
      </w:rPr>
      <w:t>投资者权益须知</w:t>
    </w:r>
  </w:p>
  <w:p>
    <w:pPr>
      <w:pStyle w:val="15"/>
      <w:pBdr>
        <w:bottom w:val="thickThinLargeGap" w:color="auto" w:sz="24" w:space="10"/>
      </w:pBdr>
      <w:tabs>
        <w:tab w:val="right" w:pos="8280"/>
      </w:tabs>
      <w:wordWrap w:val="0"/>
      <w:adjustRightInd w:val="0"/>
      <w:ind w:firstLine="181" w:firstLineChars="100"/>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48C"/>
    <w:rsid w:val="000016A1"/>
    <w:rsid w:val="00001E2E"/>
    <w:rsid w:val="000047F2"/>
    <w:rsid w:val="000052BD"/>
    <w:rsid w:val="00006526"/>
    <w:rsid w:val="000073F3"/>
    <w:rsid w:val="0001172D"/>
    <w:rsid w:val="00012205"/>
    <w:rsid w:val="0001389C"/>
    <w:rsid w:val="000141A7"/>
    <w:rsid w:val="000209B7"/>
    <w:rsid w:val="00021451"/>
    <w:rsid w:val="000215C7"/>
    <w:rsid w:val="00021BF7"/>
    <w:rsid w:val="00023F0A"/>
    <w:rsid w:val="0002724F"/>
    <w:rsid w:val="00030239"/>
    <w:rsid w:val="0003198D"/>
    <w:rsid w:val="00032F2C"/>
    <w:rsid w:val="000345D6"/>
    <w:rsid w:val="000365A1"/>
    <w:rsid w:val="0004166F"/>
    <w:rsid w:val="00042221"/>
    <w:rsid w:val="00042E95"/>
    <w:rsid w:val="00045C60"/>
    <w:rsid w:val="00045FF7"/>
    <w:rsid w:val="00055256"/>
    <w:rsid w:val="00055E1D"/>
    <w:rsid w:val="00060AA2"/>
    <w:rsid w:val="0006286C"/>
    <w:rsid w:val="00063E11"/>
    <w:rsid w:val="00065143"/>
    <w:rsid w:val="00067E29"/>
    <w:rsid w:val="0007676B"/>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75D6"/>
    <w:rsid w:val="00111396"/>
    <w:rsid w:val="00112F70"/>
    <w:rsid w:val="00113191"/>
    <w:rsid w:val="0011395B"/>
    <w:rsid w:val="00115A7D"/>
    <w:rsid w:val="00116696"/>
    <w:rsid w:val="00117923"/>
    <w:rsid w:val="00123583"/>
    <w:rsid w:val="001249B1"/>
    <w:rsid w:val="00124ADF"/>
    <w:rsid w:val="001256B2"/>
    <w:rsid w:val="00125A39"/>
    <w:rsid w:val="00136F50"/>
    <w:rsid w:val="00145951"/>
    <w:rsid w:val="00145FB3"/>
    <w:rsid w:val="00150F88"/>
    <w:rsid w:val="00151C5F"/>
    <w:rsid w:val="00153821"/>
    <w:rsid w:val="00153A6A"/>
    <w:rsid w:val="0015605F"/>
    <w:rsid w:val="00156B9B"/>
    <w:rsid w:val="00166F3C"/>
    <w:rsid w:val="001676C5"/>
    <w:rsid w:val="001719A6"/>
    <w:rsid w:val="00172A27"/>
    <w:rsid w:val="001739F3"/>
    <w:rsid w:val="00176250"/>
    <w:rsid w:val="001767D5"/>
    <w:rsid w:val="00180944"/>
    <w:rsid w:val="00181F8E"/>
    <w:rsid w:val="00183919"/>
    <w:rsid w:val="00184F16"/>
    <w:rsid w:val="001913D5"/>
    <w:rsid w:val="0019368D"/>
    <w:rsid w:val="001A0DEE"/>
    <w:rsid w:val="001A331C"/>
    <w:rsid w:val="001A3B4F"/>
    <w:rsid w:val="001B3D1B"/>
    <w:rsid w:val="001C2E83"/>
    <w:rsid w:val="001C5549"/>
    <w:rsid w:val="001C5FB8"/>
    <w:rsid w:val="001C627B"/>
    <w:rsid w:val="001C6A43"/>
    <w:rsid w:val="001D33CF"/>
    <w:rsid w:val="001D5339"/>
    <w:rsid w:val="001D5DA7"/>
    <w:rsid w:val="001D6D21"/>
    <w:rsid w:val="001E09D0"/>
    <w:rsid w:val="001E0B5B"/>
    <w:rsid w:val="001E22BC"/>
    <w:rsid w:val="001E4956"/>
    <w:rsid w:val="001E604C"/>
    <w:rsid w:val="001E7309"/>
    <w:rsid w:val="001F0442"/>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373D3"/>
    <w:rsid w:val="00241D65"/>
    <w:rsid w:val="00244658"/>
    <w:rsid w:val="00246158"/>
    <w:rsid w:val="002464CF"/>
    <w:rsid w:val="00246E81"/>
    <w:rsid w:val="002476E6"/>
    <w:rsid w:val="00252015"/>
    <w:rsid w:val="00252AD2"/>
    <w:rsid w:val="00253D3F"/>
    <w:rsid w:val="002544CB"/>
    <w:rsid w:val="00256159"/>
    <w:rsid w:val="00257D80"/>
    <w:rsid w:val="002632C7"/>
    <w:rsid w:val="00263D71"/>
    <w:rsid w:val="00267780"/>
    <w:rsid w:val="002719C4"/>
    <w:rsid w:val="00276547"/>
    <w:rsid w:val="002819AA"/>
    <w:rsid w:val="00284C82"/>
    <w:rsid w:val="00287678"/>
    <w:rsid w:val="00287D6F"/>
    <w:rsid w:val="00294417"/>
    <w:rsid w:val="0029567E"/>
    <w:rsid w:val="002A31A8"/>
    <w:rsid w:val="002A571E"/>
    <w:rsid w:val="002A599B"/>
    <w:rsid w:val="002A72B3"/>
    <w:rsid w:val="002B2076"/>
    <w:rsid w:val="002B2E59"/>
    <w:rsid w:val="002B30E7"/>
    <w:rsid w:val="002B3DF5"/>
    <w:rsid w:val="002B659B"/>
    <w:rsid w:val="002B661B"/>
    <w:rsid w:val="002B66DC"/>
    <w:rsid w:val="002C13C1"/>
    <w:rsid w:val="002C27E7"/>
    <w:rsid w:val="002C3012"/>
    <w:rsid w:val="002C7D8E"/>
    <w:rsid w:val="002D121A"/>
    <w:rsid w:val="002D407E"/>
    <w:rsid w:val="002E0E0E"/>
    <w:rsid w:val="002E2C93"/>
    <w:rsid w:val="002E388A"/>
    <w:rsid w:val="002E4681"/>
    <w:rsid w:val="002E6E2C"/>
    <w:rsid w:val="002F1BB8"/>
    <w:rsid w:val="002F1C19"/>
    <w:rsid w:val="002F228E"/>
    <w:rsid w:val="002F3164"/>
    <w:rsid w:val="002F354F"/>
    <w:rsid w:val="002F467D"/>
    <w:rsid w:val="002F5D80"/>
    <w:rsid w:val="002F6D00"/>
    <w:rsid w:val="002F7889"/>
    <w:rsid w:val="003018A8"/>
    <w:rsid w:val="003052A7"/>
    <w:rsid w:val="00306441"/>
    <w:rsid w:val="003161C7"/>
    <w:rsid w:val="00317875"/>
    <w:rsid w:val="003178C0"/>
    <w:rsid w:val="003227BA"/>
    <w:rsid w:val="003255D5"/>
    <w:rsid w:val="003307C6"/>
    <w:rsid w:val="00330ABB"/>
    <w:rsid w:val="003311F2"/>
    <w:rsid w:val="00331829"/>
    <w:rsid w:val="0033253B"/>
    <w:rsid w:val="00332928"/>
    <w:rsid w:val="003331E2"/>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6B22"/>
    <w:rsid w:val="003873DE"/>
    <w:rsid w:val="0039164E"/>
    <w:rsid w:val="00391C13"/>
    <w:rsid w:val="00392071"/>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1B14"/>
    <w:rsid w:val="004132EA"/>
    <w:rsid w:val="004134A1"/>
    <w:rsid w:val="00414562"/>
    <w:rsid w:val="0042301D"/>
    <w:rsid w:val="00423612"/>
    <w:rsid w:val="00424866"/>
    <w:rsid w:val="00426FD8"/>
    <w:rsid w:val="00431E1F"/>
    <w:rsid w:val="00433900"/>
    <w:rsid w:val="00435E5C"/>
    <w:rsid w:val="00436CF2"/>
    <w:rsid w:val="00437361"/>
    <w:rsid w:val="00444664"/>
    <w:rsid w:val="00444AD5"/>
    <w:rsid w:val="00445CFA"/>
    <w:rsid w:val="00446E41"/>
    <w:rsid w:val="00446FBB"/>
    <w:rsid w:val="0045304A"/>
    <w:rsid w:val="004530E2"/>
    <w:rsid w:val="0045487E"/>
    <w:rsid w:val="0045508F"/>
    <w:rsid w:val="00460B00"/>
    <w:rsid w:val="00467615"/>
    <w:rsid w:val="004727C4"/>
    <w:rsid w:val="00477E43"/>
    <w:rsid w:val="00481A9B"/>
    <w:rsid w:val="00483EB5"/>
    <w:rsid w:val="004875C3"/>
    <w:rsid w:val="004918BC"/>
    <w:rsid w:val="00493B96"/>
    <w:rsid w:val="004946EF"/>
    <w:rsid w:val="004973D1"/>
    <w:rsid w:val="004A23D9"/>
    <w:rsid w:val="004A3FA4"/>
    <w:rsid w:val="004A5131"/>
    <w:rsid w:val="004A7454"/>
    <w:rsid w:val="004B03B2"/>
    <w:rsid w:val="004B3210"/>
    <w:rsid w:val="004B3302"/>
    <w:rsid w:val="004B3AF7"/>
    <w:rsid w:val="004B6C04"/>
    <w:rsid w:val="004C1C32"/>
    <w:rsid w:val="004C23FF"/>
    <w:rsid w:val="004C2E33"/>
    <w:rsid w:val="004C39B2"/>
    <w:rsid w:val="004C3F33"/>
    <w:rsid w:val="004C5C67"/>
    <w:rsid w:val="004D117B"/>
    <w:rsid w:val="004E08AE"/>
    <w:rsid w:val="004E3E74"/>
    <w:rsid w:val="004E4588"/>
    <w:rsid w:val="004E61D4"/>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82A"/>
    <w:rsid w:val="0056024C"/>
    <w:rsid w:val="005602FE"/>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F7"/>
    <w:rsid w:val="00640E2B"/>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4F13"/>
    <w:rsid w:val="006B6758"/>
    <w:rsid w:val="006B72B7"/>
    <w:rsid w:val="006B7502"/>
    <w:rsid w:val="006C1201"/>
    <w:rsid w:val="006C14BB"/>
    <w:rsid w:val="006C7443"/>
    <w:rsid w:val="006D1109"/>
    <w:rsid w:val="006D4A61"/>
    <w:rsid w:val="006D6CDD"/>
    <w:rsid w:val="006D7EB4"/>
    <w:rsid w:val="006E07CD"/>
    <w:rsid w:val="006E4978"/>
    <w:rsid w:val="006F08E6"/>
    <w:rsid w:val="006F0FA1"/>
    <w:rsid w:val="006F1407"/>
    <w:rsid w:val="006F159D"/>
    <w:rsid w:val="006F3061"/>
    <w:rsid w:val="006F35E0"/>
    <w:rsid w:val="006F4C91"/>
    <w:rsid w:val="006F6966"/>
    <w:rsid w:val="006F6C9E"/>
    <w:rsid w:val="007003CA"/>
    <w:rsid w:val="00705A9A"/>
    <w:rsid w:val="00705AB8"/>
    <w:rsid w:val="00716497"/>
    <w:rsid w:val="00720B3A"/>
    <w:rsid w:val="007216E0"/>
    <w:rsid w:val="007219F7"/>
    <w:rsid w:val="00726D7A"/>
    <w:rsid w:val="00731391"/>
    <w:rsid w:val="00731CC4"/>
    <w:rsid w:val="0073299F"/>
    <w:rsid w:val="00734BC4"/>
    <w:rsid w:val="007369E8"/>
    <w:rsid w:val="00737544"/>
    <w:rsid w:val="00737E91"/>
    <w:rsid w:val="00741156"/>
    <w:rsid w:val="0074401B"/>
    <w:rsid w:val="00744F5D"/>
    <w:rsid w:val="007512CC"/>
    <w:rsid w:val="007567D7"/>
    <w:rsid w:val="00757C87"/>
    <w:rsid w:val="0076256C"/>
    <w:rsid w:val="00764FE5"/>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E0F86"/>
    <w:rsid w:val="007E1220"/>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1572"/>
    <w:rsid w:val="00833DA0"/>
    <w:rsid w:val="00837439"/>
    <w:rsid w:val="0084117B"/>
    <w:rsid w:val="00842ECC"/>
    <w:rsid w:val="00844C52"/>
    <w:rsid w:val="00844FAC"/>
    <w:rsid w:val="00847D06"/>
    <w:rsid w:val="008526AD"/>
    <w:rsid w:val="00852A74"/>
    <w:rsid w:val="00853C9B"/>
    <w:rsid w:val="0085467A"/>
    <w:rsid w:val="00855E29"/>
    <w:rsid w:val="00856912"/>
    <w:rsid w:val="00862721"/>
    <w:rsid w:val="00863B57"/>
    <w:rsid w:val="00870710"/>
    <w:rsid w:val="00871266"/>
    <w:rsid w:val="00871450"/>
    <w:rsid w:val="008739A5"/>
    <w:rsid w:val="00895DC9"/>
    <w:rsid w:val="008A3830"/>
    <w:rsid w:val="008A5426"/>
    <w:rsid w:val="008A6706"/>
    <w:rsid w:val="008B0B17"/>
    <w:rsid w:val="008B1FC9"/>
    <w:rsid w:val="008B20D2"/>
    <w:rsid w:val="008B3D15"/>
    <w:rsid w:val="008B4562"/>
    <w:rsid w:val="008B5D1E"/>
    <w:rsid w:val="008B60CD"/>
    <w:rsid w:val="008B64A4"/>
    <w:rsid w:val="008C10E9"/>
    <w:rsid w:val="008C1F51"/>
    <w:rsid w:val="008C41BB"/>
    <w:rsid w:val="008C4E5E"/>
    <w:rsid w:val="008C77FD"/>
    <w:rsid w:val="008D0202"/>
    <w:rsid w:val="008D0B1A"/>
    <w:rsid w:val="008D1177"/>
    <w:rsid w:val="008D43FD"/>
    <w:rsid w:val="008E5137"/>
    <w:rsid w:val="008E5682"/>
    <w:rsid w:val="008E67DB"/>
    <w:rsid w:val="008E6FBA"/>
    <w:rsid w:val="008F0E09"/>
    <w:rsid w:val="008F14E7"/>
    <w:rsid w:val="008F24C8"/>
    <w:rsid w:val="00905340"/>
    <w:rsid w:val="0090798A"/>
    <w:rsid w:val="00907AEC"/>
    <w:rsid w:val="00911B78"/>
    <w:rsid w:val="009122AA"/>
    <w:rsid w:val="00914791"/>
    <w:rsid w:val="0091725B"/>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820"/>
    <w:rsid w:val="00983DF9"/>
    <w:rsid w:val="00987518"/>
    <w:rsid w:val="009917A6"/>
    <w:rsid w:val="00993714"/>
    <w:rsid w:val="009969BB"/>
    <w:rsid w:val="009A14A5"/>
    <w:rsid w:val="009A42BC"/>
    <w:rsid w:val="009B0C9E"/>
    <w:rsid w:val="009B1C9C"/>
    <w:rsid w:val="009B2C85"/>
    <w:rsid w:val="009B5BC2"/>
    <w:rsid w:val="009C2069"/>
    <w:rsid w:val="009C521A"/>
    <w:rsid w:val="009C6F8E"/>
    <w:rsid w:val="009D63B0"/>
    <w:rsid w:val="009D7AA0"/>
    <w:rsid w:val="009E371D"/>
    <w:rsid w:val="009E4C02"/>
    <w:rsid w:val="009E5E1C"/>
    <w:rsid w:val="009E6DAE"/>
    <w:rsid w:val="009F1537"/>
    <w:rsid w:val="009F29D8"/>
    <w:rsid w:val="009F4C90"/>
    <w:rsid w:val="009F759C"/>
    <w:rsid w:val="009F7CF8"/>
    <w:rsid w:val="00A11CB0"/>
    <w:rsid w:val="00A125BC"/>
    <w:rsid w:val="00A17171"/>
    <w:rsid w:val="00A205B4"/>
    <w:rsid w:val="00A20F62"/>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D98"/>
    <w:rsid w:val="00A9773F"/>
    <w:rsid w:val="00A97F9F"/>
    <w:rsid w:val="00AA0BFE"/>
    <w:rsid w:val="00AA2082"/>
    <w:rsid w:val="00AB009C"/>
    <w:rsid w:val="00AB3FFD"/>
    <w:rsid w:val="00AB633E"/>
    <w:rsid w:val="00AB7231"/>
    <w:rsid w:val="00AB7FE4"/>
    <w:rsid w:val="00AC18A8"/>
    <w:rsid w:val="00AC3CEC"/>
    <w:rsid w:val="00AC4A57"/>
    <w:rsid w:val="00AD4F90"/>
    <w:rsid w:val="00AD57C7"/>
    <w:rsid w:val="00AD74DA"/>
    <w:rsid w:val="00AD7F32"/>
    <w:rsid w:val="00AE3332"/>
    <w:rsid w:val="00AE4780"/>
    <w:rsid w:val="00AE4AC1"/>
    <w:rsid w:val="00AE6A16"/>
    <w:rsid w:val="00AF2416"/>
    <w:rsid w:val="00AF3E6D"/>
    <w:rsid w:val="00AF40F3"/>
    <w:rsid w:val="00AF5042"/>
    <w:rsid w:val="00AF7D63"/>
    <w:rsid w:val="00B010E6"/>
    <w:rsid w:val="00B01124"/>
    <w:rsid w:val="00B034C7"/>
    <w:rsid w:val="00B07816"/>
    <w:rsid w:val="00B123EF"/>
    <w:rsid w:val="00B13299"/>
    <w:rsid w:val="00B13D10"/>
    <w:rsid w:val="00B20BD0"/>
    <w:rsid w:val="00B21F78"/>
    <w:rsid w:val="00B23C21"/>
    <w:rsid w:val="00B24D2D"/>
    <w:rsid w:val="00B340F8"/>
    <w:rsid w:val="00B3431B"/>
    <w:rsid w:val="00B3762A"/>
    <w:rsid w:val="00B4101D"/>
    <w:rsid w:val="00B41509"/>
    <w:rsid w:val="00B43375"/>
    <w:rsid w:val="00B52FAD"/>
    <w:rsid w:val="00B56276"/>
    <w:rsid w:val="00B606E5"/>
    <w:rsid w:val="00B606E6"/>
    <w:rsid w:val="00B61A35"/>
    <w:rsid w:val="00B66F01"/>
    <w:rsid w:val="00B70428"/>
    <w:rsid w:val="00B70DB8"/>
    <w:rsid w:val="00B72632"/>
    <w:rsid w:val="00B73C10"/>
    <w:rsid w:val="00B74A78"/>
    <w:rsid w:val="00B74F12"/>
    <w:rsid w:val="00B75AC5"/>
    <w:rsid w:val="00B76971"/>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3E98"/>
    <w:rsid w:val="00BC4611"/>
    <w:rsid w:val="00BC68AA"/>
    <w:rsid w:val="00BD020C"/>
    <w:rsid w:val="00BD0D17"/>
    <w:rsid w:val="00BD4663"/>
    <w:rsid w:val="00BD6425"/>
    <w:rsid w:val="00BE4092"/>
    <w:rsid w:val="00BF0849"/>
    <w:rsid w:val="00BF33D6"/>
    <w:rsid w:val="00BF3E98"/>
    <w:rsid w:val="00C00374"/>
    <w:rsid w:val="00C02553"/>
    <w:rsid w:val="00C02E9B"/>
    <w:rsid w:val="00C041E1"/>
    <w:rsid w:val="00C07640"/>
    <w:rsid w:val="00C10A0B"/>
    <w:rsid w:val="00C11510"/>
    <w:rsid w:val="00C12A4D"/>
    <w:rsid w:val="00C133AC"/>
    <w:rsid w:val="00C149B9"/>
    <w:rsid w:val="00C16ED4"/>
    <w:rsid w:val="00C17007"/>
    <w:rsid w:val="00C226AB"/>
    <w:rsid w:val="00C266C0"/>
    <w:rsid w:val="00C27CD2"/>
    <w:rsid w:val="00C320BC"/>
    <w:rsid w:val="00C32A5C"/>
    <w:rsid w:val="00C348DE"/>
    <w:rsid w:val="00C349B7"/>
    <w:rsid w:val="00C3641F"/>
    <w:rsid w:val="00C40580"/>
    <w:rsid w:val="00C4092B"/>
    <w:rsid w:val="00C4198D"/>
    <w:rsid w:val="00C41A12"/>
    <w:rsid w:val="00C41D76"/>
    <w:rsid w:val="00C46269"/>
    <w:rsid w:val="00C5061E"/>
    <w:rsid w:val="00C527BF"/>
    <w:rsid w:val="00C550E2"/>
    <w:rsid w:val="00C561B4"/>
    <w:rsid w:val="00C569F3"/>
    <w:rsid w:val="00C57F3A"/>
    <w:rsid w:val="00C6524D"/>
    <w:rsid w:val="00C6577D"/>
    <w:rsid w:val="00C66942"/>
    <w:rsid w:val="00C80014"/>
    <w:rsid w:val="00C90BFF"/>
    <w:rsid w:val="00C9379A"/>
    <w:rsid w:val="00C95DF3"/>
    <w:rsid w:val="00C97D8A"/>
    <w:rsid w:val="00C97F28"/>
    <w:rsid w:val="00CA42AB"/>
    <w:rsid w:val="00CA504C"/>
    <w:rsid w:val="00CA767B"/>
    <w:rsid w:val="00CB118D"/>
    <w:rsid w:val="00CB24A2"/>
    <w:rsid w:val="00CC153D"/>
    <w:rsid w:val="00CC5DA1"/>
    <w:rsid w:val="00CD1A38"/>
    <w:rsid w:val="00CD1ED6"/>
    <w:rsid w:val="00CD4530"/>
    <w:rsid w:val="00CE04EA"/>
    <w:rsid w:val="00CE21A3"/>
    <w:rsid w:val="00CE3D7D"/>
    <w:rsid w:val="00CE5271"/>
    <w:rsid w:val="00CF07E7"/>
    <w:rsid w:val="00CF20EC"/>
    <w:rsid w:val="00D044FA"/>
    <w:rsid w:val="00D06A40"/>
    <w:rsid w:val="00D07F3D"/>
    <w:rsid w:val="00D11889"/>
    <w:rsid w:val="00D143FA"/>
    <w:rsid w:val="00D14989"/>
    <w:rsid w:val="00D1696F"/>
    <w:rsid w:val="00D200E4"/>
    <w:rsid w:val="00D246C7"/>
    <w:rsid w:val="00D330E4"/>
    <w:rsid w:val="00D354C6"/>
    <w:rsid w:val="00D4074A"/>
    <w:rsid w:val="00D4395E"/>
    <w:rsid w:val="00D44376"/>
    <w:rsid w:val="00D4445B"/>
    <w:rsid w:val="00D501A2"/>
    <w:rsid w:val="00D50C49"/>
    <w:rsid w:val="00D51521"/>
    <w:rsid w:val="00D515DA"/>
    <w:rsid w:val="00D57FB6"/>
    <w:rsid w:val="00D62BAC"/>
    <w:rsid w:val="00D66F78"/>
    <w:rsid w:val="00D705DA"/>
    <w:rsid w:val="00D77ADC"/>
    <w:rsid w:val="00D77F0D"/>
    <w:rsid w:val="00D81FE7"/>
    <w:rsid w:val="00D82893"/>
    <w:rsid w:val="00D8308D"/>
    <w:rsid w:val="00D833EB"/>
    <w:rsid w:val="00D837CC"/>
    <w:rsid w:val="00D92526"/>
    <w:rsid w:val="00D9748A"/>
    <w:rsid w:val="00DA43E0"/>
    <w:rsid w:val="00DA5A27"/>
    <w:rsid w:val="00DA6E0E"/>
    <w:rsid w:val="00DA78A9"/>
    <w:rsid w:val="00DA7A2B"/>
    <w:rsid w:val="00DB201C"/>
    <w:rsid w:val="00DB2DB0"/>
    <w:rsid w:val="00DB3857"/>
    <w:rsid w:val="00DB44A2"/>
    <w:rsid w:val="00DC0F23"/>
    <w:rsid w:val="00DC18EE"/>
    <w:rsid w:val="00DC2771"/>
    <w:rsid w:val="00DC295F"/>
    <w:rsid w:val="00DC3C57"/>
    <w:rsid w:val="00DC40E4"/>
    <w:rsid w:val="00DC7C02"/>
    <w:rsid w:val="00DD2FE5"/>
    <w:rsid w:val="00DD6FE7"/>
    <w:rsid w:val="00DF3437"/>
    <w:rsid w:val="00DF3F05"/>
    <w:rsid w:val="00DF6B27"/>
    <w:rsid w:val="00DF749F"/>
    <w:rsid w:val="00DF7FC5"/>
    <w:rsid w:val="00E03447"/>
    <w:rsid w:val="00E03ECE"/>
    <w:rsid w:val="00E0477B"/>
    <w:rsid w:val="00E072D2"/>
    <w:rsid w:val="00E12287"/>
    <w:rsid w:val="00E1770C"/>
    <w:rsid w:val="00E22677"/>
    <w:rsid w:val="00E23CB4"/>
    <w:rsid w:val="00E23CE7"/>
    <w:rsid w:val="00E3045C"/>
    <w:rsid w:val="00E30CD1"/>
    <w:rsid w:val="00E323CD"/>
    <w:rsid w:val="00E34CBA"/>
    <w:rsid w:val="00E35DA5"/>
    <w:rsid w:val="00E36F2B"/>
    <w:rsid w:val="00E37E1A"/>
    <w:rsid w:val="00E4276E"/>
    <w:rsid w:val="00E44D44"/>
    <w:rsid w:val="00E44FFE"/>
    <w:rsid w:val="00E50662"/>
    <w:rsid w:val="00E51C4F"/>
    <w:rsid w:val="00E57E75"/>
    <w:rsid w:val="00E67AFF"/>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5C7"/>
    <w:rsid w:val="00ED2BA5"/>
    <w:rsid w:val="00ED3882"/>
    <w:rsid w:val="00ED3E6B"/>
    <w:rsid w:val="00ED5759"/>
    <w:rsid w:val="00EE183A"/>
    <w:rsid w:val="00EE263C"/>
    <w:rsid w:val="00EE3D96"/>
    <w:rsid w:val="00EE7357"/>
    <w:rsid w:val="00EF191E"/>
    <w:rsid w:val="00EF4162"/>
    <w:rsid w:val="00EF6103"/>
    <w:rsid w:val="00F00C67"/>
    <w:rsid w:val="00F0469D"/>
    <w:rsid w:val="00F046EC"/>
    <w:rsid w:val="00F0558F"/>
    <w:rsid w:val="00F05739"/>
    <w:rsid w:val="00F0768A"/>
    <w:rsid w:val="00F07962"/>
    <w:rsid w:val="00F104F1"/>
    <w:rsid w:val="00F12096"/>
    <w:rsid w:val="00F12A59"/>
    <w:rsid w:val="00F12E33"/>
    <w:rsid w:val="00F1386E"/>
    <w:rsid w:val="00F14579"/>
    <w:rsid w:val="00F16B95"/>
    <w:rsid w:val="00F16D1C"/>
    <w:rsid w:val="00F2211E"/>
    <w:rsid w:val="00F23DF7"/>
    <w:rsid w:val="00F243AF"/>
    <w:rsid w:val="00F33834"/>
    <w:rsid w:val="00F34661"/>
    <w:rsid w:val="00F3550C"/>
    <w:rsid w:val="00F4075D"/>
    <w:rsid w:val="00F41743"/>
    <w:rsid w:val="00F43CC2"/>
    <w:rsid w:val="00F45279"/>
    <w:rsid w:val="00F45D4D"/>
    <w:rsid w:val="00F477AD"/>
    <w:rsid w:val="00F4787A"/>
    <w:rsid w:val="00F54677"/>
    <w:rsid w:val="00F55612"/>
    <w:rsid w:val="00F56998"/>
    <w:rsid w:val="00F611C6"/>
    <w:rsid w:val="00F640CB"/>
    <w:rsid w:val="00F652FF"/>
    <w:rsid w:val="00F6638A"/>
    <w:rsid w:val="00F6673D"/>
    <w:rsid w:val="00F6765C"/>
    <w:rsid w:val="00F7607C"/>
    <w:rsid w:val="00F845DD"/>
    <w:rsid w:val="00F84ACA"/>
    <w:rsid w:val="00F865A9"/>
    <w:rsid w:val="00F8733E"/>
    <w:rsid w:val="00F913B7"/>
    <w:rsid w:val="00F91EA4"/>
    <w:rsid w:val="00F92464"/>
    <w:rsid w:val="00FA07AA"/>
    <w:rsid w:val="00FA10AA"/>
    <w:rsid w:val="00FA2F7C"/>
    <w:rsid w:val="00FA3BF1"/>
    <w:rsid w:val="00FB0D3D"/>
    <w:rsid w:val="00FB166A"/>
    <w:rsid w:val="00FB7721"/>
    <w:rsid w:val="00FC5827"/>
    <w:rsid w:val="00FC64D6"/>
    <w:rsid w:val="00FC6768"/>
    <w:rsid w:val="00FD08DF"/>
    <w:rsid w:val="00FD4E32"/>
    <w:rsid w:val="00FD771E"/>
    <w:rsid w:val="00FD7F16"/>
    <w:rsid w:val="00FE1886"/>
    <w:rsid w:val="00FE2B6B"/>
    <w:rsid w:val="00FE441D"/>
    <w:rsid w:val="00FF0956"/>
    <w:rsid w:val="00FF46EE"/>
    <w:rsid w:val="041D43A3"/>
    <w:rsid w:val="0EC469F2"/>
    <w:rsid w:val="149E474A"/>
    <w:rsid w:val="221239F3"/>
    <w:rsid w:val="35C863A1"/>
    <w:rsid w:val="40B65A03"/>
    <w:rsid w:val="45F574B3"/>
    <w:rsid w:val="4F9B33E8"/>
    <w:rsid w:val="522B18F8"/>
    <w:rsid w:val="5EF52D1E"/>
    <w:rsid w:val="626F56C0"/>
    <w:rsid w:val="648448DA"/>
    <w:rsid w:val="6AAF1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5" w:themeColor="accent1" w:themeShade="BF"/>
      <w:sz w:val="32"/>
      <w:szCs w:val="32"/>
    </w:rPr>
  </w:style>
  <w:style w:type="paragraph" w:customStyle="1" w:styleId="68">
    <w:name w:val="修订2"/>
    <w:hidden/>
    <w:semiHidden/>
    <w:qFormat/>
    <w:uiPriority w:val="99"/>
    <w:rPr>
      <w:rFonts w:ascii="Times New Roman" w:hAnsi="Times New Roman" w:eastAsia="宋体" w:cs="Times New Roman"/>
      <w:kern w:val="2"/>
      <w:sz w:val="21"/>
      <w:lang w:val="en-US" w:eastAsia="zh-CN" w:bidi="ar-SA"/>
    </w:rPr>
  </w:style>
  <w:style w:type="paragraph" w:customStyle="1" w:styleId="69">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5" w:themeColor="accent1" w:themeShade="BF"/>
      <w:kern w:val="0"/>
      <w:sz w:val="28"/>
      <w:szCs w:val="28"/>
    </w:rPr>
  </w:style>
  <w:style w:type="paragraph" w:customStyle="1" w:styleId="70">
    <w:name w:val="正文2"/>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jpeg"/><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5D27F9-8CB5-4AF7-AF69-9CDCA6517C0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1539</Words>
  <Characters>8775</Characters>
  <Lines>73</Lines>
  <Paragraphs>20</Paragraphs>
  <TotalTime>0</TotalTime>
  <ScaleCrop>false</ScaleCrop>
  <LinksUpToDate>false</LinksUpToDate>
  <CharactersWithSpaces>10294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2021-03-29T01:33:00Z</dcterms:created>
  <dc:creator>Mandy.Z</dc:creator>
  <cp:lastModifiedBy>Administrator</cp:lastModifiedBy>
  <cp:lastPrinted>2017-10-31T06:33:00Z</cp:lastPrinted>
  <dcterms:modified xsi:type="dcterms:W3CDTF">2023-09-07T09:49:13Z</dcterms:modified>
  <dc:title>___证券投资基金招募说明书1</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C166FDD168F74BAFB715BD6389AD620E</vt:lpwstr>
  </property>
</Properties>
</file>