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兴银理财【稳添利最短持有期日开固收类】理财产品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4"/>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14"/>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14"/>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兴银理财【稳添利最短持有期日开固收类】理财产品产品说明书</w:t>
            </w:r>
          </w:p>
        </w:tc>
        <w:tc>
          <w:tcPr>
            <w:tcW w:w="2107" w:type="dxa"/>
          </w:tcPr>
          <w:p>
            <w:pPr>
              <w:pStyle w:val="14"/>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4"/>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兴银理财【稳添利最短持有期日开固收类】理财产品（代理）销售协议书</w:t>
            </w:r>
          </w:p>
        </w:tc>
        <w:tc>
          <w:tcPr>
            <w:tcW w:w="2107" w:type="dxa"/>
          </w:tcPr>
          <w:p>
            <w:pPr>
              <w:pStyle w:val="14"/>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4"/>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兴银理财【稳添利最短持有期日开固收类】理财产品</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2"/>
          <w:rFonts w:ascii="宋体" w:hAnsi="宋体"/>
          <w:sz w:val="28"/>
          <w:szCs w:val="28"/>
        </w:rPr>
      </w:pPr>
      <w:bookmarkStart w:id="0" w:name="_Toc139991726"/>
      <w:bookmarkStart w:id="1" w:name="_Toc139992301"/>
      <w:bookmarkStart w:id="2" w:name="_Toc123112224"/>
      <w:bookmarkStart w:id="3" w:name="_Toc123112263"/>
      <w:bookmarkStart w:id="4" w:name="_Toc123701383"/>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39991727"/>
      <w:bookmarkStart w:id="6" w:name="_Toc123112264"/>
      <w:bookmarkStart w:id="7" w:name="_Toc123112225"/>
      <w:bookmarkStart w:id="8" w:name="_Toc139992302"/>
      <w:bookmarkStart w:id="9" w:name="_Toc123701384"/>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w:t>
      </w:r>
      <w:r>
        <w:rPr>
          <w:rStyle w:val="12"/>
          <w:rFonts w:ascii="宋体" w:hAnsi="宋体"/>
          <w:sz w:val="28"/>
          <w:szCs w:val="28"/>
        </w:rPr>
        <w:t>2024</w:t>
      </w:r>
      <w:r>
        <w:rPr>
          <w:rStyle w:val="12"/>
          <w:rFonts w:hint="eastAsia" w:ascii="宋体" w:hAnsi="宋体"/>
          <w:sz w:val="28"/>
          <w:szCs w:val="28"/>
        </w:rPr>
        <w:t>】年【</w:t>
      </w:r>
      <w:r>
        <w:rPr>
          <w:rStyle w:val="12"/>
          <w:rFonts w:ascii="宋体" w:hAnsi="宋体"/>
          <w:sz w:val="28"/>
          <w:szCs w:val="28"/>
        </w:rPr>
        <w:t>3</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rPr>
                <w:rFonts w:ascii="黑体" w:hAnsi="黑体" w:eastAsia="黑体"/>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jc w:val="both"/>
              <w:rPr>
                <w:rFonts w:ascii="黑体" w:hAnsi="黑体" w:eastAsia="黑体"/>
                <w:bCs/>
                <w:sz w:val="18"/>
                <w:szCs w:val="18"/>
              </w:rPr>
            </w:pPr>
          </w:p>
          <w:p>
            <w:pPr>
              <w:pStyle w:val="8"/>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【兴银理财稳添利季盈15号(3个月最短持有期)日开固收类理财产品】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【兴银稳添利季盈15号A（兴普惠）】</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【兴银稳添利季盈15号B（兴普惠）】</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【兴银稳添利季盈15号C（兴普惠）】</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sz w:val="18"/>
                <w:szCs w:val="18"/>
              </w:rPr>
            </w:pPr>
            <w:r>
              <w:rPr>
                <w:rFonts w:hint="eastAsia" w:ascii="宋体" w:hAnsi="宋体"/>
                <w:bCs/>
                <w:sz w:val="18"/>
                <w:szCs w:val="18"/>
              </w:rPr>
              <w:t>【稳添利季盈</w:t>
            </w:r>
            <w:r>
              <w:rPr>
                <w:rFonts w:ascii="宋体" w:hAnsi="宋体"/>
                <w:bCs/>
                <w:sz w:val="18"/>
                <w:szCs w:val="18"/>
              </w:rPr>
              <w:t>15</w:t>
            </w:r>
            <w:r>
              <w:rPr>
                <w:rFonts w:hint="eastAsia" w:ascii="宋体" w:hAnsi="宋体"/>
                <w:bCs/>
                <w:sz w:val="18"/>
                <w:szCs w:val="18"/>
              </w:rPr>
              <w:t>号</w:t>
            </w:r>
            <w:r>
              <w:rPr>
                <w:rFonts w:ascii="宋体" w:hAnsi="宋体"/>
                <w:bCs/>
                <w:sz w:val="18"/>
                <w:szCs w:val="18"/>
              </w:rPr>
              <w:t>D(</w:t>
            </w:r>
            <w:r>
              <w:rPr>
                <w:rFonts w:hint="eastAsia" w:ascii="宋体" w:hAnsi="宋体"/>
                <w:bCs/>
                <w:sz w:val="18"/>
                <w:szCs w:val="18"/>
              </w:rPr>
              <w:t>兴普惠</w:t>
            </w:r>
            <w:r>
              <w:rPr>
                <w:rFonts w:ascii="宋体" w:hAnsi="宋体"/>
                <w:bCs/>
                <w:sz w:val="18"/>
                <w:szCs w:val="18"/>
              </w:rPr>
              <w:t>-</w:t>
            </w:r>
            <w:r>
              <w:rPr>
                <w:rFonts w:hint="eastAsia" w:ascii="宋体" w:hAnsi="宋体"/>
                <w:bCs/>
                <w:sz w:val="18"/>
                <w:szCs w:val="18"/>
              </w:rPr>
              <w:t>福建农信专属</w:t>
            </w:r>
            <w:r>
              <w:rPr>
                <w:rFonts w:ascii="宋体" w:hAnsi="宋体"/>
                <w:bCs/>
                <w:sz w:val="18"/>
                <w:szCs w:val="18"/>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Z7002023001454</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【9K400350】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9K40035A</w:t>
            </w:r>
            <w:r>
              <w:rPr>
                <w:rFonts w:hint="eastAsia" w:ascii="宋体" w:hAnsi="宋体"/>
                <w:bCs/>
                <w:color w:val="000000" w:themeColor="text1"/>
                <w:sz w:val="18"/>
                <w:szCs w:val="18"/>
                <w14:textFill>
                  <w14:solidFill>
                    <w14:schemeClr w14:val="tx1"/>
                  </w14:solidFill>
                </w14:textFill>
              </w:rPr>
              <w:t>】（适用【A】类份额）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9K40035B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9K40035C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9K40035D</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5"/>
            <w:spacing w:line="360" w:lineRule="auto"/>
            <w:jc w:val="center"/>
          </w:pPr>
          <w:r>
            <w:rPr>
              <w:lang w:val="zh-CN"/>
            </w:rPr>
            <w:t>目录</w:t>
          </w:r>
        </w:p>
        <w:p>
          <w:pPr>
            <w:pStyle w:val="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4966"/>
      <w:bookmarkStart w:id="16" w:name="_Toc30935"/>
      <w:bookmarkStart w:id="17" w:name="_Toc139991730"/>
      <w:bookmarkStart w:id="18" w:name="_Toc4867"/>
      <w:bookmarkStart w:id="19" w:name="_Toc23386"/>
      <w:bookmarkStart w:id="20" w:name="_Toc6306"/>
      <w:bookmarkStart w:id="21" w:name="_Toc32639"/>
      <w:bookmarkStart w:id="22" w:name="_Toc123112268"/>
      <w:bookmarkStart w:id="23" w:name="_Toc26897"/>
      <w:bookmarkStart w:id="24" w:name="_Toc15517"/>
      <w:bookmarkStart w:id="25" w:name="_Toc8727"/>
      <w:bookmarkStart w:id="26" w:name="_Toc123701389"/>
      <w:bookmarkStart w:id="27" w:name="_Toc123112229"/>
      <w:bookmarkStart w:id="28" w:name="_Toc141703880"/>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13020"/>
      <w:bookmarkStart w:id="34" w:name="_Toc3224"/>
      <w:bookmarkStart w:id="35" w:name="_Toc22864"/>
      <w:bookmarkStart w:id="36" w:name="_Toc19592"/>
      <w:bookmarkStart w:id="37" w:name="_Toc21301"/>
      <w:bookmarkStart w:id="38" w:name="_Toc6617"/>
      <w:bookmarkStart w:id="39" w:name="_Toc2465"/>
      <w:bookmarkStart w:id="40" w:name="_Toc15067"/>
      <w:bookmarkStart w:id="41" w:name="_Toc258829399"/>
      <w:bookmarkStart w:id="42" w:name="_Toc819"/>
      <w:r>
        <w:rPr>
          <w:rFonts w:hint="eastAsia" w:ascii="Times New Roman"/>
          <w:color w:val="auto"/>
          <w:sz w:val="30"/>
        </w:rPr>
        <w:t>前言</w:t>
      </w:r>
      <w:bookmarkEnd w:id="29"/>
    </w:p>
    <w:p>
      <w:pPr>
        <w:pStyle w:val="16"/>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33"/>
      <w:bookmarkStart w:id="48" w:name="_Toc20627"/>
      <w:bookmarkStart w:id="49" w:name="_Toc20318"/>
      <w:bookmarkStart w:id="50" w:name="_Toc22708"/>
      <w:bookmarkStart w:id="51" w:name="_Toc18631"/>
      <w:bookmarkStart w:id="52" w:name="_Toc545"/>
      <w:bookmarkStart w:id="53" w:name="_Toc6683"/>
      <w:bookmarkStart w:id="54" w:name="_Toc13288"/>
      <w:bookmarkStart w:id="55" w:name="_Toc74065740"/>
      <w:bookmarkStart w:id="56" w:name="_Toc6149"/>
      <w:bookmarkStart w:id="57" w:name="_Toc24571"/>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兴银理财【稳添利最短持有期日开固收类】理财产品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w:t>
      </w:r>
      <w:r>
        <w:rPr>
          <w:rStyle w:val="12"/>
          <w:rFonts w:ascii="宋体" w:hAnsi="宋体" w:cs="Times New Roman"/>
          <w:sz w:val="32"/>
          <w:szCs w:val="32"/>
        </w:rPr>
        <w:t>024</w:t>
      </w:r>
      <w:r>
        <w:rPr>
          <w:rStyle w:val="12"/>
          <w:rFonts w:hint="eastAsia" w:ascii="宋体" w:hAnsi="宋体" w:cs="Times New Roman"/>
          <w:sz w:val="32"/>
          <w:szCs w:val="32"/>
        </w:rPr>
        <w:t>】年【</w:t>
      </w:r>
      <w:r>
        <w:rPr>
          <w:rStyle w:val="12"/>
          <w:rFonts w:ascii="宋体" w:hAnsi="宋体" w:cs="Times New Roman"/>
          <w:sz w:val="32"/>
          <w:szCs w:val="32"/>
        </w:rPr>
        <w:t>3</w:t>
      </w:r>
      <w:r>
        <w:rPr>
          <w:rStyle w:val="12"/>
          <w:rFonts w:hint="eastAsia" w:ascii="宋体" w:hAnsi="宋体" w:cs="Times New Roman"/>
          <w:sz w:val="32"/>
          <w:szCs w:val="32"/>
        </w:rPr>
        <w:t>】月</w:t>
      </w:r>
    </w:p>
    <w:p>
      <w:pPr>
        <w:rPr>
          <w:rStyle w:val="12"/>
          <w:rFonts w:ascii="宋体" w:hAnsi="宋体"/>
          <w:sz w:val="32"/>
          <w:szCs w:val="32"/>
        </w:rPr>
      </w:pPr>
      <w:r>
        <w:rPr>
          <w:rStyle w:val="12"/>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7"/>
            <w:spacing w:line="360" w:lineRule="auto"/>
            <w:jc w:val="center"/>
          </w:pPr>
          <w:bookmarkStart w:id="66" w:name="_Toc78276587"/>
          <w:r>
            <w:rPr>
              <w:lang w:val="zh-CN"/>
            </w:rPr>
            <w:t>目录</w:t>
          </w:r>
        </w:p>
        <w:p>
          <w:pPr>
            <w:pStyle w:val="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"_Toc26572"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_Toc26572 \h </w:instrText>
          </w:r>
          <w:r>
            <w:fldChar w:fldCharType="separate"/>
          </w:r>
          <w:r>
            <w:t>3</w:t>
          </w:r>
          <w:r>
            <w:fldChar w:fldCharType="end"/>
          </w:r>
          <w:r>
            <w:fldChar w:fldCharType="end"/>
          </w:r>
        </w:p>
        <w:p>
          <w:pPr>
            <w:pStyle w:val="6"/>
            <w:tabs>
              <w:tab w:val="right" w:leader="dot" w:pos="8306"/>
              <w:tab w:val="clear" w:pos="8296"/>
            </w:tabs>
          </w:pPr>
          <w:r>
            <w:fldChar w:fldCharType="begin"/>
          </w:r>
          <w:r>
            <w:instrText xml:space="preserve"> HYPERLINK \l "_Toc14559" </w:instrText>
          </w:r>
          <w:r>
            <w:fldChar w:fldCharType="separate"/>
          </w:r>
          <w:r>
            <w:rPr>
              <w:rFonts w:hint="eastAsia" w:hAnsi="宋体"/>
              <w:szCs w:val="28"/>
            </w:rPr>
            <w:t xml:space="preserve">第二条  理财产品基本情况 </w:t>
          </w:r>
          <w:r>
            <w:tab/>
          </w:r>
          <w:r>
            <w:fldChar w:fldCharType="begin"/>
          </w:r>
          <w:r>
            <w:instrText xml:space="preserve"> PAGEREF _Toc14559 \h </w:instrText>
          </w:r>
          <w:r>
            <w:fldChar w:fldCharType="separate"/>
          </w:r>
          <w:r>
            <w:t>8</w:t>
          </w:r>
          <w:r>
            <w:fldChar w:fldCharType="end"/>
          </w:r>
          <w:r>
            <w:fldChar w:fldCharType="end"/>
          </w:r>
        </w:p>
        <w:p>
          <w:pPr>
            <w:pStyle w:val="6"/>
            <w:tabs>
              <w:tab w:val="right" w:leader="dot" w:pos="8306"/>
              <w:tab w:val="clear" w:pos="8296"/>
            </w:tabs>
          </w:pPr>
          <w:r>
            <w:fldChar w:fldCharType="begin"/>
          </w:r>
          <w:r>
            <w:instrText xml:space="preserve"> HYPERLINK \l "_Toc4403"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_Toc4403 \h </w:instrText>
          </w:r>
          <w:r>
            <w:fldChar w:fldCharType="separate"/>
          </w:r>
          <w:r>
            <w:t>14</w:t>
          </w:r>
          <w:r>
            <w:fldChar w:fldCharType="end"/>
          </w:r>
          <w:r>
            <w:fldChar w:fldCharType="end"/>
          </w:r>
        </w:p>
        <w:p>
          <w:pPr>
            <w:pStyle w:val="6"/>
            <w:tabs>
              <w:tab w:val="right" w:leader="dot" w:pos="8306"/>
              <w:tab w:val="clear" w:pos="8296"/>
            </w:tabs>
          </w:pPr>
          <w:r>
            <w:fldChar w:fldCharType="begin"/>
          </w:r>
          <w:r>
            <w:instrText xml:space="preserve"> HYPERLINK \l "_Toc6529"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_Toc6529 \h </w:instrText>
          </w:r>
          <w:r>
            <w:fldChar w:fldCharType="separate"/>
          </w:r>
          <w:r>
            <w:t>16</w:t>
          </w:r>
          <w:r>
            <w:fldChar w:fldCharType="end"/>
          </w:r>
          <w:r>
            <w:fldChar w:fldCharType="end"/>
          </w:r>
        </w:p>
        <w:p>
          <w:pPr>
            <w:pStyle w:val="6"/>
            <w:tabs>
              <w:tab w:val="right" w:leader="dot" w:pos="8306"/>
              <w:tab w:val="clear" w:pos="8296"/>
            </w:tabs>
          </w:pPr>
          <w:r>
            <w:fldChar w:fldCharType="begin"/>
          </w:r>
          <w:r>
            <w:instrText xml:space="preserve"> HYPERLINK \l "_Toc12517"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_Toc12517 \h </w:instrText>
          </w:r>
          <w:r>
            <w:fldChar w:fldCharType="separate"/>
          </w:r>
          <w:r>
            <w:t>20</w:t>
          </w:r>
          <w:r>
            <w:fldChar w:fldCharType="end"/>
          </w:r>
          <w:r>
            <w:fldChar w:fldCharType="end"/>
          </w:r>
        </w:p>
        <w:p>
          <w:pPr>
            <w:pStyle w:val="6"/>
            <w:tabs>
              <w:tab w:val="right" w:leader="dot" w:pos="8306"/>
              <w:tab w:val="clear" w:pos="8296"/>
            </w:tabs>
          </w:pPr>
          <w:r>
            <w:fldChar w:fldCharType="begin"/>
          </w:r>
          <w:r>
            <w:instrText xml:space="preserve"> HYPERLINK \l "_Toc27967"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_Toc27967 \h </w:instrText>
          </w:r>
          <w:r>
            <w:fldChar w:fldCharType="separate"/>
          </w:r>
          <w:r>
            <w:t>23</w:t>
          </w:r>
          <w:r>
            <w:fldChar w:fldCharType="end"/>
          </w:r>
          <w:r>
            <w:fldChar w:fldCharType="end"/>
          </w:r>
        </w:p>
        <w:p>
          <w:pPr>
            <w:pStyle w:val="6"/>
            <w:tabs>
              <w:tab w:val="right" w:leader="dot" w:pos="8306"/>
              <w:tab w:val="clear" w:pos="8296"/>
            </w:tabs>
          </w:pPr>
          <w:r>
            <w:fldChar w:fldCharType="begin"/>
          </w:r>
          <w:r>
            <w:instrText xml:space="preserve"> HYPERLINK \l "_Toc13903"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_Toc13903 \h </w:instrText>
          </w:r>
          <w:r>
            <w:fldChar w:fldCharType="separate"/>
          </w:r>
          <w:r>
            <w:t>24</w:t>
          </w:r>
          <w:r>
            <w:fldChar w:fldCharType="end"/>
          </w:r>
          <w:r>
            <w:fldChar w:fldCharType="end"/>
          </w:r>
        </w:p>
        <w:p>
          <w:pPr>
            <w:pStyle w:val="6"/>
            <w:tabs>
              <w:tab w:val="right" w:leader="dot" w:pos="8306"/>
              <w:tab w:val="clear" w:pos="8296"/>
            </w:tabs>
          </w:pPr>
          <w:r>
            <w:fldChar w:fldCharType="begin"/>
          </w:r>
          <w:r>
            <w:instrText xml:space="preserve"> HYPERLINK \l "_Toc4020"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_Toc4020 \h </w:instrText>
          </w:r>
          <w:r>
            <w:fldChar w:fldCharType="separate"/>
          </w:r>
          <w:r>
            <w:t>28</w:t>
          </w:r>
          <w:r>
            <w:fldChar w:fldCharType="end"/>
          </w:r>
          <w:r>
            <w:fldChar w:fldCharType="end"/>
          </w:r>
        </w:p>
        <w:p>
          <w:pPr>
            <w:pStyle w:val="6"/>
            <w:tabs>
              <w:tab w:val="right" w:leader="dot" w:pos="8306"/>
              <w:tab w:val="clear" w:pos="8296"/>
            </w:tabs>
          </w:pPr>
          <w:r>
            <w:fldChar w:fldCharType="begin"/>
          </w:r>
          <w:r>
            <w:instrText xml:space="preserve"> HYPERLINK \l "_Toc6394"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_Toc6394 \h </w:instrText>
          </w:r>
          <w:r>
            <w:fldChar w:fldCharType="separate"/>
          </w:r>
          <w:r>
            <w:t>29</w:t>
          </w:r>
          <w:r>
            <w:fldChar w:fldCharType="end"/>
          </w:r>
          <w:r>
            <w:fldChar w:fldCharType="end"/>
          </w:r>
        </w:p>
        <w:p>
          <w:pPr>
            <w:pStyle w:val="6"/>
            <w:tabs>
              <w:tab w:val="right" w:leader="dot" w:pos="8306"/>
              <w:tab w:val="clear" w:pos="8296"/>
            </w:tabs>
          </w:pPr>
          <w:r>
            <w:fldChar w:fldCharType="begin"/>
          </w:r>
          <w:r>
            <w:instrText xml:space="preserve"> HYPERLINK \l "_Toc25397"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_Toc25397 \h </w:instrText>
          </w:r>
          <w:r>
            <w:fldChar w:fldCharType="separate"/>
          </w:r>
          <w:r>
            <w:t>32</w:t>
          </w:r>
          <w:r>
            <w:fldChar w:fldCharType="end"/>
          </w:r>
          <w:r>
            <w:fldChar w:fldCharType="end"/>
          </w:r>
        </w:p>
        <w:p>
          <w:pPr>
            <w:pStyle w:val="6"/>
            <w:tabs>
              <w:tab w:val="right" w:leader="dot" w:pos="8306"/>
              <w:tab w:val="clear" w:pos="8296"/>
            </w:tabs>
          </w:pPr>
          <w:r>
            <w:fldChar w:fldCharType="begin"/>
          </w:r>
          <w:r>
            <w:instrText xml:space="preserve"> HYPERLINK \l "_Toc7953"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_Toc7953 \h </w:instrText>
          </w:r>
          <w:r>
            <w:fldChar w:fldCharType="separate"/>
          </w:r>
          <w:r>
            <w:t>34</w:t>
          </w:r>
          <w:r>
            <w:fldChar w:fldCharType="end"/>
          </w:r>
          <w:r>
            <w:fldChar w:fldCharType="end"/>
          </w:r>
        </w:p>
        <w:p>
          <w:pPr>
            <w:pStyle w:val="6"/>
            <w:tabs>
              <w:tab w:val="right" w:leader="dot" w:pos="8306"/>
              <w:tab w:val="clear" w:pos="8296"/>
            </w:tabs>
          </w:pPr>
          <w:r>
            <w:fldChar w:fldCharType="begin"/>
          </w:r>
          <w:r>
            <w:instrText xml:space="preserve"> HYPERLINK \l "_Toc30149"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_Toc30149 \h </w:instrText>
          </w:r>
          <w:r>
            <w:fldChar w:fldCharType="separate"/>
          </w:r>
          <w:r>
            <w:t>36</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92377130"/>
      <w:bookmarkStart w:id="68" w:name="_Toc26572"/>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bookmarkEnd w:id="68"/>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6"/>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6"/>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：指产品管理人向投资者提供的，用于描述产品特征，约定权利义务的文件。具体指《兴银理财【稳添利最短持有期日开固收类】理财产品销售文件》，包括《投资协议书》、《产品说明书》、《（代理）销售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《投资协议书》：指管理人统一编制的《兴银理财【稳添利最短持有期日开固收类】理财产品投资协议书》，以及对该文件的有效修改或补充。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）《产品说明书》：指管理人统一编制的《兴银理财【稳添利最短持有期日开固收类】理财产品产品说明书》，以及对该文件的有效修改或补充。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（4）《（代理）销售协议书》：指管理人统一编制的《兴银理财【稳添利最短持有期日开固收类】理财产品（代理）销售协议书》或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的《兴银理财【稳添利最短持有期日开固收类】理财产品（代理）销售协议书》（文件名称以代理销售机构实际编制为准），以及对该文件的有效修改或补充。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）《风险揭示书》：指管理人统一编制的《兴银理财【稳添利最短持有期日开固收类】理财产品风险揭示书》或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的《兴银理财【稳添利最短持有期日开固收类】理财产品风险揭示书》（文件名称以代理销售机构实际编制为准），以及对该文件的有效修改或补充。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）《投资者权益须知》：指管理人统一编制的《兴银理财【稳添利最短持有期日开固收类】理财产品投资者权益须知》或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《兴银理财【稳添利最短持有期日开固收类】理财产品投资者权益须知》（文件名称以代理销售机构实际编制为准），以及对该文件的有效修改或补充。</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6"/>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16"/>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（20）巨额赎回：每个赎回日，本产品的净赎回申请（赎回申请份额总数扣除申购申请份额总数后的余额,下同）之和达到上一赎回日产品总份额的约定百分比，为巨额赎回。</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6"/>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6"/>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（13）申购申请日：指投资者做出申购申请的当日。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（14）赎回申请日：指投资者做出赎回申请的当日。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5）申购日：指产品管理人接受投资者申购申请的当日。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6）赎回日：指产品管理人接受投资者赎回申请的当日。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6"/>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6"/>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6"/>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6"/>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6"/>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6"/>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（3）适用法律：指在理财销售文件签署日和履行过程中，适用中华人民共和国法律（为本销售文件之目的，在此不包括香港、澳门特别行政区和台湾地区的法律），包括中国任何立法机构、政府部门、银行业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9" w:name="_Toc79154665"/>
      <w:bookmarkStart w:id="70" w:name="_Toc92377131"/>
      <w:bookmarkStart w:id="71" w:name="_Toc14559"/>
      <w:r>
        <w:rPr>
          <w:rFonts w:hint="eastAsia" w:hAnsi="宋体"/>
          <w:sz w:val="28"/>
          <w:szCs w:val="28"/>
        </w:rPr>
        <w:t>第二条  理财产品基本情况</w:t>
      </w:r>
      <w:bookmarkEnd w:id="69"/>
      <w:bookmarkEnd w:id="70"/>
      <w:r>
        <w:rPr>
          <w:rFonts w:hint="eastAsia" w:hAnsi="宋体"/>
          <w:sz w:val="28"/>
          <w:szCs w:val="28"/>
        </w:rPr>
        <w:t xml:space="preserve"> </w:t>
      </w:r>
      <w:bookmarkEnd w:id="71"/>
    </w:p>
    <w:tbl>
      <w:tblPr>
        <w:tblStyle w:val="9"/>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sz w:val="18"/>
                <w:szCs w:val="18"/>
              </w:rPr>
              <w:t>【兴银理财稳添利季盈15号(3个月最短持有期)日开固收类理财产品】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widowControl/>
              <w:spacing w:line="360" w:lineRule="auto"/>
              <w:jc w:val="left"/>
              <w:rPr>
                <w:rFonts w:hAnsi="宋体"/>
                <w:sz w:val="18"/>
                <w:szCs w:val="18"/>
              </w:rPr>
            </w:pPr>
            <w:r>
              <w:rPr>
                <w:rFonts w:hint="eastAsia" w:asciiTheme="majorEastAsia" w:hAnsiTheme="majorEastAsia" w:eastAsiaTheme="majorEastAsia"/>
                <w:bCs/>
                <w:kern w:val="0"/>
                <w:sz w:val="18"/>
                <w:szCs w:val="18"/>
              </w:rPr>
              <w:t>【</w:t>
            </w:r>
            <w:r>
              <w:rPr>
                <w:rFonts w:hint="eastAsia" w:ascii="宋体" w:hAnsi="宋体"/>
                <w:sz w:val="18"/>
                <w:szCs w:val="18"/>
              </w:rPr>
              <w:t>兴银稳添利季盈15号A（兴普惠）</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Ansi="宋体"/>
                <w:sz w:val="18"/>
                <w:szCs w:val="18"/>
              </w:rPr>
            </w:pPr>
            <w:r>
              <w:rPr>
                <w:rFonts w:hint="eastAsia" w:asciiTheme="majorEastAsia" w:hAnsiTheme="majorEastAsia" w:eastAsiaTheme="majorEastAsia"/>
                <w:bCs/>
                <w:kern w:val="0"/>
                <w:sz w:val="18"/>
                <w:szCs w:val="18"/>
              </w:rPr>
              <w:t>【</w:t>
            </w:r>
            <w:r>
              <w:rPr>
                <w:rFonts w:hint="eastAsia" w:ascii="宋体" w:hAnsi="宋体"/>
                <w:sz w:val="18"/>
                <w:szCs w:val="18"/>
              </w:rPr>
              <w:t>兴银稳添利季盈15号B（兴普惠）</w:t>
            </w:r>
            <w:r>
              <w:rPr>
                <w:rFonts w:hint="eastAsia" w:asciiTheme="majorEastAsia" w:hAnsiTheme="majorEastAsia" w:eastAsiaTheme="majorEastAsia"/>
                <w:bCs/>
                <w:kern w:val="0"/>
                <w:sz w:val="18"/>
                <w:szCs w:val="18"/>
              </w:rPr>
              <w:t>】</w:t>
            </w:r>
            <w:r>
              <w:rPr>
                <w:rFonts w:hint="eastAsia" w:hAnsi="宋体"/>
                <w:sz w:val="18"/>
                <w:szCs w:val="18"/>
              </w:rPr>
              <w:t>（适用【</w:t>
            </w:r>
            <w:r>
              <w:rPr>
                <w:rFonts w:hAnsi="宋体"/>
                <w:sz w:val="18"/>
                <w:szCs w:val="18"/>
              </w:rPr>
              <w:t>B</w:t>
            </w:r>
            <w:r>
              <w:rPr>
                <w:rFonts w:hint="eastAsia" w:hAnsi="宋体"/>
                <w:sz w:val="18"/>
                <w:szCs w:val="18"/>
              </w:rPr>
              <w:t>】类份额）</w:t>
            </w:r>
          </w:p>
          <w:p>
            <w:pPr>
              <w:widowControl/>
              <w:spacing w:line="360" w:lineRule="auto"/>
              <w:jc w:val="left"/>
              <w:rPr>
                <w:rFonts w:hAnsi="宋体"/>
                <w:sz w:val="18"/>
                <w:szCs w:val="18"/>
              </w:rPr>
            </w:pPr>
            <w:r>
              <w:rPr>
                <w:rFonts w:hint="eastAsia" w:asciiTheme="majorEastAsia" w:hAnsiTheme="majorEastAsia" w:eastAsiaTheme="majorEastAsia"/>
                <w:bCs/>
                <w:kern w:val="0"/>
                <w:sz w:val="18"/>
                <w:szCs w:val="18"/>
              </w:rPr>
              <w:t>【</w:t>
            </w:r>
            <w:r>
              <w:rPr>
                <w:rFonts w:hint="eastAsia" w:ascii="宋体" w:hAnsi="宋体"/>
                <w:sz w:val="18"/>
                <w:szCs w:val="18"/>
              </w:rPr>
              <w:t>兴银稳添利季盈15号C（兴普惠）</w:t>
            </w:r>
            <w:r>
              <w:rPr>
                <w:rFonts w:hint="eastAsia" w:asciiTheme="majorEastAsia" w:hAnsiTheme="majorEastAsia" w:eastAsiaTheme="majorEastAsia"/>
                <w:bCs/>
                <w:kern w:val="0"/>
                <w:sz w:val="18"/>
                <w:szCs w:val="18"/>
              </w:rPr>
              <w:t>】</w:t>
            </w:r>
            <w:r>
              <w:rPr>
                <w:rFonts w:hint="eastAsia" w:hAnsi="宋体"/>
                <w:sz w:val="18"/>
                <w:szCs w:val="18"/>
              </w:rPr>
              <w:t>（适用【</w:t>
            </w:r>
            <w:r>
              <w:rPr>
                <w:rFonts w:hAnsi="宋体"/>
                <w:sz w:val="18"/>
                <w:szCs w:val="18"/>
              </w:rPr>
              <w:t>C</w:t>
            </w:r>
            <w:r>
              <w:rPr>
                <w:rFonts w:hint="eastAsia" w:hAnsi="宋体"/>
                <w:sz w:val="18"/>
                <w:szCs w:val="18"/>
              </w:rPr>
              <w:t>】类份额）.</w:t>
            </w:r>
          </w:p>
          <w:p>
            <w:pPr>
              <w:widowControl/>
              <w:spacing w:line="360" w:lineRule="auto"/>
              <w:jc w:val="left"/>
              <w:rPr>
                <w:rFonts w:ascii="宋体" w:hAnsi="宋体"/>
                <w:kern w:val="0"/>
                <w:sz w:val="22"/>
              </w:rPr>
            </w:pPr>
            <w:r>
              <w:rPr>
                <w:rFonts w:hint="eastAsia" w:asciiTheme="majorEastAsia" w:hAnsiTheme="majorEastAsia" w:eastAsiaTheme="majorEastAsia"/>
                <w:bCs/>
                <w:kern w:val="0"/>
                <w:sz w:val="18"/>
                <w:szCs w:val="18"/>
              </w:rPr>
              <w:t>【</w:t>
            </w:r>
            <w:r>
              <w:rPr>
                <w:rFonts w:hint="eastAsia" w:ascii="宋体" w:hAnsi="宋体"/>
                <w:sz w:val="18"/>
                <w:szCs w:val="18"/>
              </w:rPr>
              <w:t>稳添利季盈</w:t>
            </w:r>
            <w:r>
              <w:rPr>
                <w:rFonts w:ascii="宋体" w:hAnsi="宋体"/>
                <w:sz w:val="18"/>
                <w:szCs w:val="18"/>
              </w:rPr>
              <w:t>15</w:t>
            </w:r>
            <w:r>
              <w:rPr>
                <w:rFonts w:hint="eastAsia" w:ascii="宋体" w:hAnsi="宋体"/>
                <w:sz w:val="18"/>
                <w:szCs w:val="18"/>
              </w:rPr>
              <w:t>号</w:t>
            </w:r>
            <w:r>
              <w:rPr>
                <w:rFonts w:ascii="宋体" w:hAnsi="宋体"/>
                <w:sz w:val="18"/>
                <w:szCs w:val="18"/>
              </w:rPr>
              <w:t>D(</w:t>
            </w:r>
            <w:r>
              <w:rPr>
                <w:rFonts w:hint="eastAsia" w:ascii="宋体" w:hAnsi="宋体"/>
                <w:sz w:val="18"/>
                <w:szCs w:val="18"/>
              </w:rPr>
              <w:t>兴普惠</w:t>
            </w:r>
            <w:r>
              <w:rPr>
                <w:rFonts w:ascii="宋体" w:hAnsi="宋体"/>
                <w:sz w:val="18"/>
                <w:szCs w:val="18"/>
              </w:rPr>
              <w:t>-</w:t>
            </w:r>
            <w:r>
              <w:rPr>
                <w:rFonts w:hint="eastAsia" w:ascii="宋体" w:hAnsi="宋体"/>
                <w:sz w:val="18"/>
                <w:szCs w:val="18"/>
              </w:rPr>
              <w:t>福建农信专属</w:t>
            </w:r>
            <w:r>
              <w:rPr>
                <w:rFonts w:ascii="宋体" w:hAnsi="宋体"/>
                <w:sz w:val="18"/>
                <w:szCs w:val="18"/>
              </w:rPr>
              <w:t>)</w:t>
            </w:r>
            <w:r>
              <w:rPr>
                <w:rFonts w:hint="eastAsia" w:asciiTheme="majorEastAsia" w:hAnsiTheme="majorEastAsia" w:eastAsiaTheme="majorEastAsia"/>
                <w:bCs/>
                <w:kern w:val="0"/>
                <w:sz w:val="18"/>
                <w:szCs w:val="18"/>
              </w:rPr>
              <w:t>】</w:t>
            </w:r>
            <w:r>
              <w:rPr>
                <w:rFonts w:hint="eastAsia" w:hAnsi="宋体"/>
                <w:sz w:val="18"/>
                <w:szCs w:val="18"/>
              </w:rPr>
              <w:t>（适用【</w:t>
            </w:r>
            <w:r>
              <w:rPr>
                <w:rFonts w:hAnsi="宋体"/>
                <w:sz w:val="18"/>
                <w:szCs w:val="18"/>
              </w:rPr>
              <w:t>D</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Z7002023001454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【9K400350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60" w:lineRule="auto"/>
              <w:jc w:val="left"/>
              <w:rPr>
                <w:rFonts w:hAnsi="宋体"/>
                <w:sz w:val="18"/>
                <w:szCs w:val="18"/>
              </w:rPr>
            </w:pPr>
            <w:r>
              <w:rPr>
                <w:rFonts w:hint="eastAsia" w:hAnsi="宋体"/>
                <w:sz w:val="18"/>
                <w:szCs w:val="18"/>
              </w:rPr>
              <w:t>【</w:t>
            </w:r>
            <w:r>
              <w:rPr>
                <w:rFonts w:ascii="宋体" w:hAnsi="宋体"/>
                <w:bCs/>
                <w:sz w:val="18"/>
                <w:szCs w:val="18"/>
              </w:rPr>
              <w:t>9K40035A</w:t>
            </w:r>
            <w:r>
              <w:rPr>
                <w:rFonts w:hint="eastAsia" w:hAnsi="宋体"/>
                <w:sz w:val="18"/>
                <w:szCs w:val="18"/>
              </w:rPr>
              <w:t>】（适用【A】类份额）</w:t>
            </w:r>
          </w:p>
          <w:p>
            <w:pPr>
              <w:spacing w:line="360" w:lineRule="auto"/>
              <w:jc w:val="left"/>
              <w:rPr>
                <w:rFonts w:hAnsi="宋体"/>
                <w:sz w:val="18"/>
                <w:szCs w:val="18"/>
              </w:rPr>
            </w:pPr>
            <w:r>
              <w:rPr>
                <w:rFonts w:hint="eastAsia" w:hAnsi="宋体"/>
                <w:sz w:val="18"/>
                <w:szCs w:val="18"/>
              </w:rPr>
              <w:t>【</w:t>
            </w:r>
            <w:r>
              <w:rPr>
                <w:rFonts w:ascii="宋体" w:hAnsi="宋体"/>
                <w:bCs/>
                <w:sz w:val="18"/>
                <w:szCs w:val="18"/>
              </w:rPr>
              <w:t>9K40035B</w:t>
            </w:r>
            <w:r>
              <w:rPr>
                <w:rFonts w:hint="eastAsia" w:hAnsi="宋体"/>
                <w:sz w:val="18"/>
                <w:szCs w:val="18"/>
              </w:rPr>
              <w:t>】（适用【</w:t>
            </w:r>
            <w:r>
              <w:rPr>
                <w:rFonts w:hAnsi="宋体"/>
                <w:sz w:val="18"/>
                <w:szCs w:val="18"/>
              </w:rPr>
              <w:t>B</w:t>
            </w:r>
            <w:r>
              <w:rPr>
                <w:rFonts w:hint="eastAsia" w:hAnsi="宋体"/>
                <w:sz w:val="18"/>
                <w:szCs w:val="18"/>
              </w:rPr>
              <w:t>】类份额）</w:t>
            </w:r>
          </w:p>
          <w:p>
            <w:pPr>
              <w:spacing w:line="360" w:lineRule="auto"/>
              <w:jc w:val="left"/>
              <w:rPr>
                <w:rFonts w:hAnsi="宋体"/>
                <w:sz w:val="18"/>
                <w:szCs w:val="18"/>
              </w:rPr>
            </w:pPr>
            <w:r>
              <w:rPr>
                <w:rFonts w:hint="eastAsia" w:hAnsi="宋体"/>
                <w:sz w:val="18"/>
                <w:szCs w:val="18"/>
              </w:rPr>
              <w:t>【</w:t>
            </w:r>
            <w:r>
              <w:rPr>
                <w:rFonts w:ascii="宋体" w:hAnsi="宋体"/>
                <w:bCs/>
                <w:sz w:val="18"/>
                <w:szCs w:val="18"/>
              </w:rPr>
              <w:t>9K40035C</w:t>
            </w:r>
            <w:r>
              <w:rPr>
                <w:rFonts w:hint="eastAsia" w:hAnsi="宋体"/>
                <w:sz w:val="18"/>
                <w:szCs w:val="18"/>
              </w:rPr>
              <w:t>】（适用【</w:t>
            </w:r>
            <w:r>
              <w:rPr>
                <w:rFonts w:hAnsi="宋体"/>
                <w:sz w:val="18"/>
                <w:szCs w:val="18"/>
              </w:rPr>
              <w:t>C</w:t>
            </w:r>
            <w:r>
              <w:rPr>
                <w:rFonts w:hint="eastAsia" w:hAnsi="宋体"/>
                <w:sz w:val="18"/>
                <w:szCs w:val="18"/>
              </w:rPr>
              <w:t>】类份额）</w:t>
            </w:r>
          </w:p>
          <w:p>
            <w:pPr>
              <w:spacing w:line="360" w:lineRule="auto"/>
              <w:jc w:val="left"/>
              <w:rPr>
                <w:rFonts w:hAnsi="宋体"/>
                <w:sz w:val="18"/>
                <w:szCs w:val="18"/>
              </w:rPr>
            </w:pPr>
            <w:r>
              <w:rPr>
                <w:rFonts w:hint="eastAsia" w:hAnsi="宋体"/>
                <w:sz w:val="18"/>
                <w:szCs w:val="18"/>
              </w:rPr>
              <w:t>【</w:t>
            </w:r>
            <w:r>
              <w:rPr>
                <w:rFonts w:ascii="宋体" w:hAnsi="宋体"/>
                <w:bCs/>
                <w:sz w:val="18"/>
                <w:szCs w:val="18"/>
              </w:rPr>
              <w:t>9K40035D</w:t>
            </w:r>
            <w:r>
              <w:rPr>
                <w:rFonts w:hint="eastAsia" w:hAnsi="宋体"/>
                <w:sz w:val="18"/>
                <w:szCs w:val="18"/>
              </w:rPr>
              <w:t>】（适用【</w:t>
            </w:r>
            <w:r>
              <w:rPr>
                <w:rFonts w:hAnsi="宋体"/>
                <w:sz w:val="18"/>
                <w:szCs w:val="18"/>
              </w:rPr>
              <w:t>D</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024】年【3</w:t>
            </w:r>
            <w:r>
              <w:rPr>
                <w:rFonts w:hint="eastAsia" w:cs="Times New Roman" w:asciiTheme="minorEastAsia" w:hAnsiTheme="minorEastAsia"/>
                <w:sz w:val="18"/>
                <w:szCs w:val="18"/>
              </w:rPr>
              <w:t>】月【</w:t>
            </w:r>
            <w:r>
              <w:rPr>
                <w:rFonts w:cs="Times New Roman" w:asciiTheme="minorEastAsia" w:hAnsiTheme="minorEastAsia"/>
                <w:sz w:val="18"/>
                <w:szCs w:val="18"/>
              </w:rPr>
              <w:t>20</w:t>
            </w:r>
            <w:r>
              <w:rPr>
                <w:rFonts w:hint="eastAsia" w:cs="Times New Roman" w:asciiTheme="minorEastAsia" w:hAnsiTheme="minorEastAsia"/>
                <w:sz w:val="18"/>
                <w:szCs w:val="18"/>
              </w:rPr>
              <w:t>】日【9:0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024】年【3</w:t>
            </w:r>
            <w:r>
              <w:rPr>
                <w:rFonts w:hint="eastAsia" w:cs="Times New Roman" w:asciiTheme="minorEastAsia" w:hAnsiTheme="minorEastAsia"/>
                <w:sz w:val="18"/>
                <w:szCs w:val="18"/>
              </w:rPr>
              <w:t>】月【</w:t>
            </w:r>
            <w:r>
              <w:rPr>
                <w:rFonts w:cs="Times New Roman" w:asciiTheme="minorEastAsia" w:hAnsiTheme="minorEastAsia"/>
                <w:sz w:val="18"/>
                <w:szCs w:val="18"/>
              </w:rPr>
              <w:t>26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5:45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0</w:t>
            </w:r>
            <w:r>
              <w:rPr>
                <w:rFonts w:cs="Times New Roman" w:asciiTheme="minorEastAsia" w:hAnsiTheme="minorEastAsia"/>
                <w:sz w:val="18"/>
                <w:szCs w:val="18"/>
              </w:rPr>
              <w:t>3</w:t>
            </w:r>
            <w:r>
              <w:rPr>
                <w:rFonts w:hint="eastAsia" w:cs="Times New Roman" w:asciiTheme="minorEastAsia" w:hAnsiTheme="minorEastAsia"/>
                <w:sz w:val="18"/>
                <w:szCs w:val="18"/>
              </w:rPr>
              <w:t>】月【</w:t>
            </w:r>
            <w:r>
              <w:rPr>
                <w:rFonts w:cs="Times New Roman" w:asciiTheme="minorEastAsia" w:hAnsiTheme="minorEastAsia"/>
                <w:sz w:val="18"/>
                <w:szCs w:val="18"/>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704"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cs="Times New Roman" w:asciiTheme="minorEastAsia" w:hAnsiTheme="min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本产品的开放日</w:t>
            </w:r>
          </w:p>
          <w:p>
            <w:pPr>
              <w:spacing w:line="360" w:lineRule="auto"/>
              <w:rPr>
                <w:rFonts w:asciiTheme="minorEastAsia" w:hAnsiTheme="minorEastAsia"/>
                <w:sz w:val="18"/>
                <w:szCs w:val="18"/>
              </w:rPr>
            </w:pPr>
            <w:r>
              <w:rPr>
                <w:rFonts w:hint="eastAsia" w:asciiTheme="minorEastAsia" w:hAnsiTheme="minorEastAsia"/>
                <w:sz w:val="18"/>
                <w:szCs w:val="18"/>
              </w:rPr>
              <w:t>本产品最短持有期为【</w:t>
            </w:r>
            <w:r>
              <w:rPr>
                <w:rFonts w:asciiTheme="minorEastAsia" w:hAnsiTheme="minorEastAsia"/>
                <w:sz w:val="18"/>
                <w:szCs w:val="18"/>
              </w:rPr>
              <w:t>90</w:t>
            </w:r>
            <w:r>
              <w:rPr>
                <w:rFonts w:hint="eastAsia" w:asciiTheme="minorEastAsia" w:hAnsiTheme="minorEastAsia"/>
                <w:sz w:val="18"/>
                <w:szCs w:val="18"/>
              </w:rPr>
              <w:t>】个自然日。本产品封闭期结束后的第一个工作日起每日开放（产品管理人公告暂停开放的日期除外），投资者可于开放日提交申购申请。</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自产品成立日/申购确认日起第【</w:t>
            </w:r>
            <w:r>
              <w:rPr>
                <w:rFonts w:asciiTheme="minorEastAsia" w:hAnsiTheme="minorEastAsia"/>
                <w:sz w:val="18"/>
                <w:szCs w:val="18"/>
              </w:rPr>
              <w:t>90</w:t>
            </w:r>
            <w:r>
              <w:rPr>
                <w:rFonts w:hint="eastAsia" w:asciiTheme="majorEastAsia" w:hAnsiTheme="majorEastAsia" w:eastAsiaTheme="majorEastAsia"/>
                <w:bCs/>
                <w:sz w:val="18"/>
                <w:szCs w:val="18"/>
              </w:rPr>
              <w:t>】个自然日内（不含当日）投资者不能赎回该产品份额，自产品成立日/申购确认日起第【</w:t>
            </w:r>
            <w:r>
              <w:rPr>
                <w:rFonts w:asciiTheme="minorEastAsia" w:hAnsiTheme="minorEastAsia"/>
                <w:sz w:val="18"/>
                <w:szCs w:val="18"/>
              </w:rPr>
              <w:t>90</w:t>
            </w:r>
            <w:r>
              <w:rPr>
                <w:rFonts w:hint="eastAsia" w:asciiTheme="majorEastAsia" w:hAnsiTheme="majorEastAsia" w:eastAsiaTheme="majorEastAsia"/>
                <w:bCs/>
                <w:sz w:val="18"/>
                <w:szCs w:val="18"/>
              </w:rPr>
              <w:t>】个自然日起（含当日），投资者</w:t>
            </w:r>
            <w:r>
              <w:rPr>
                <w:rFonts w:hint="eastAsia" w:asciiTheme="minorEastAsia" w:hAnsiTheme="minorEastAsia"/>
                <w:sz w:val="18"/>
                <w:szCs w:val="18"/>
              </w:rPr>
              <w:t>可于任一开放日</w:t>
            </w:r>
            <w:r>
              <w:rPr>
                <w:rFonts w:hint="eastAsia" w:asciiTheme="majorEastAsia" w:hAnsiTheme="majorEastAsia" w:eastAsiaTheme="majorEastAsia"/>
                <w:bCs/>
                <w:sz w:val="18"/>
                <w:szCs w:val="18"/>
              </w:rPr>
              <w:t>赎回该产品份额。</w:t>
            </w:r>
          </w:p>
          <w:p>
            <w:pPr>
              <w:spacing w:line="360" w:lineRule="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产品管理人在申购日后【</w:t>
            </w:r>
            <w:r>
              <w:rPr>
                <w:rFonts w:cs="Times New Roman" w:asciiTheme="minorEastAsia" w:hAnsiTheme="minorEastAsia" w:eastAsiaTheme="minorEastAsia"/>
                <w:bCs/>
                <w:sz w:val="18"/>
                <w:szCs w:val="18"/>
              </w:rPr>
              <w:t>2</w:t>
            </w:r>
            <w:r>
              <w:rPr>
                <w:rFonts w:hint="eastAsia" w:cs="Times New Roman" w:asciiTheme="minorEastAsia" w:hAnsiTheme="minorEastAsia" w:eastAsiaTheme="minorEastAsia"/>
                <w:bCs/>
                <w:sz w:val="18"/>
                <w:szCs w:val="18"/>
              </w:rPr>
              <w:t>】个工作日内对投资者的申购申请的有效性进行确认，并登记理财份额。</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产品管理人在赎回日后【</w:t>
            </w:r>
            <w:r>
              <w:rPr>
                <w:rFonts w:cs="Times New Roman" w:asciiTheme="minorEastAsia" w:hAnsiTheme="minorEastAsia" w:eastAsiaTheme="minorEastAsia"/>
                <w:bCs/>
                <w:sz w:val="18"/>
                <w:szCs w:val="18"/>
              </w:rPr>
              <w:t>2</w:t>
            </w:r>
            <w:r>
              <w:rPr>
                <w:rFonts w:hint="eastAsia" w:cs="Times New Roman" w:asciiTheme="minorEastAsia" w:hAnsiTheme="minorEastAsia" w:eastAsiaTheme="minorEastAsia"/>
                <w:bCs/>
                <w:sz w:val="18"/>
                <w:szCs w:val="18"/>
              </w:rPr>
              <w:t>】个工作日内对投资者的赎回申请的有效性进行确认，并注销理财份额。</w:t>
            </w:r>
          </w:p>
          <w:p>
            <w:pPr>
              <w:spacing w:line="360" w:lineRule="auto"/>
              <w:rPr>
                <w:rFonts w:ascii="黑体" w:hAnsi="黑体" w:eastAsia="黑体" w:cs="黑体"/>
                <w:sz w:val="18"/>
                <w:szCs w:val="18"/>
              </w:rPr>
            </w:pPr>
            <w:r>
              <w:rPr>
                <w:rFonts w:hint="eastAsia" w:ascii="黑体" w:hAnsi="黑体" w:eastAsia="黑体" w:cs="黑体"/>
                <w:sz w:val="18"/>
                <w:szCs w:val="18"/>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bCs/>
                <w:color w:val="000000" w:themeColor="text1"/>
                <w:sz w:val="18"/>
                <w:szCs w:val="18"/>
                <w14:textFill>
                  <w14:solidFill>
                    <w14:schemeClr w14:val="tx1"/>
                  </w14:solidFill>
                </w14:textFill>
              </w:rPr>
              <w:t>款项于</w:t>
            </w:r>
            <w:r>
              <w:rPr>
                <w:rFonts w:hint="eastAsia" w:ascii="黑体" w:hAnsi="黑体" w:eastAsia="黑体" w:cs="黑体"/>
                <w:bCs/>
                <w:kern w:val="0"/>
                <w:sz w:val="18"/>
                <w:szCs w:val="18"/>
              </w:rPr>
              <w:t>赎回</w:t>
            </w:r>
            <w:r>
              <w:rPr>
                <w:rFonts w:hint="eastAsia" w:ascii="黑体" w:hAnsi="黑体" w:eastAsia="黑体" w:cs="黑体"/>
                <w:kern w:val="0"/>
                <w:sz w:val="18"/>
              </w:rPr>
              <w:t>日后【3】个工作日</w:t>
            </w:r>
            <w:r>
              <w:rPr>
                <w:rFonts w:hint="eastAsia" w:ascii="黑体" w:hAnsi="黑体" w:eastAsia="黑体" w:cs="黑体"/>
                <w:bCs/>
                <w:kern w:val="0"/>
                <w:sz w:val="18"/>
                <w:szCs w:val="18"/>
              </w:rPr>
              <w:t>内支付给</w:t>
            </w:r>
            <w:r>
              <w:rPr>
                <w:rFonts w:hint="eastAsia" w:ascii="黑体" w:hAnsi="黑体" w:eastAsia="黑体" w:cs="黑体"/>
                <w:kern w:val="0"/>
                <w:sz w:val="18"/>
              </w:rPr>
              <w:t>投资者</w:t>
            </w:r>
            <w:r>
              <w:rPr>
                <w:rFonts w:hint="eastAsia" w:ascii="黑体" w:hAnsi="黑体" w:eastAsia="黑体" w:cs="黑体"/>
                <w:bCs/>
                <w:kern w:val="0"/>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购买起点金额为【1】元；超出起点金额的部分以【0</w:t>
            </w:r>
            <w:r>
              <w:rPr>
                <w:rFonts w:asciiTheme="majorEastAsia" w:hAnsiTheme="majorEastAsia" w:eastAsiaTheme="majorEastAsia"/>
                <w:bCs/>
                <w:sz w:val="18"/>
                <w:szCs w:val="18"/>
              </w:rPr>
              <w:t>.01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asciiTheme="majorEastAsia" w:hAnsiTheme="majorEastAsia" w:eastAsiaTheme="majorEastAsia"/>
                <w:bCs/>
                <w:color w:val="000000" w:themeColor="text1"/>
                <w:sz w:val="18"/>
                <w:szCs w:val="18"/>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★认购、申购与赎回的数量限制</w:t>
            </w:r>
          </w:p>
        </w:tc>
        <w:tc>
          <w:tcPr>
            <w:tcW w:w="7704" w:type="dxa"/>
            <w:shd w:val="solid" w:color="FFFFFF" w:fill="FFFFFF"/>
            <w:vAlign w:val="center"/>
          </w:tcPr>
          <w:p>
            <w:pPr>
              <w:pStyle w:val="16"/>
              <w:spacing w:line="360" w:lineRule="auto"/>
              <w:rPr>
                <w:rFonts w:asciiTheme="minorEastAsia" w:hAnsiTheme="minorEastAsia" w:eastAsiaTheme="minorEastAsia"/>
                <w:color w:val="auto"/>
                <w:sz w:val="18"/>
                <w:szCs w:val="18"/>
              </w:rPr>
            </w:pPr>
            <w:r>
              <w:rPr>
                <w:rFonts w:hint="eastAsia" w:hAnsi="宋体"/>
                <w:bCs/>
                <w:sz w:val="18"/>
                <w:szCs w:val="18"/>
              </w:rPr>
              <w:t>（适用【A</w:t>
            </w:r>
            <w:r>
              <w:rPr>
                <w:rFonts w:hAnsi="宋体"/>
                <w:bCs/>
                <w:sz w:val="18"/>
                <w:szCs w:val="18"/>
              </w:rPr>
              <w:t>/B/C/D</w:t>
            </w:r>
            <w:r>
              <w:rPr>
                <w:rFonts w:hint="eastAsia" w:hAnsi="宋体"/>
                <w:bCs/>
                <w:sz w:val="18"/>
                <w:szCs w:val="18"/>
              </w:rPr>
              <w:t>】类份额）</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6"/>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】元。如需突破上限，请与产品管理人或销售机构客户经理联系。</w:t>
            </w:r>
          </w:p>
          <w:p>
            <w:pPr>
              <w:pStyle w:val="16"/>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】份，符合产品管理人流动性管理的稳定资金除外。</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6"/>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本产品单一投资者持有份额不得超过产品总份额50%。</w:t>
            </w:r>
          </w:p>
          <w:p>
            <w:pPr>
              <w:pStyle w:val="16"/>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16"/>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16"/>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理财产品的费用和税收</w:t>
            </w:r>
            <w:r>
              <w:rPr>
                <w:rFonts w:asciiTheme="majorEastAsia" w:hAnsiTheme="majorEastAsia" w:eastAsiaTheme="majorEastAsia"/>
                <w:bCs/>
                <w:sz w:val="18"/>
                <w:szCs w:val="18"/>
              </w:rPr>
              <w:t>。</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基于当前对未来市场的判断，根据拟投资债权类资产的信用利差、久期敞口以及流动性溢价，预判组合的波动幅度</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p>
          <w:p>
            <w:pPr>
              <w:spacing w:line="360" w:lineRule="auto"/>
              <w:jc w:val="left"/>
              <w:rPr>
                <w:rFonts w:ascii="宋体" w:hAnsi="宋体"/>
                <w:b/>
                <w:bCs/>
                <w:sz w:val="18"/>
                <w:szCs w:val="18"/>
              </w:rPr>
            </w:pP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业绩比较基准：年化</w:t>
            </w:r>
            <w:r>
              <w:rPr>
                <w:rFonts w:hint="eastAsia" w:ascii="宋体" w:hAnsi="宋体"/>
                <w:bCs/>
                <w:sz w:val="18"/>
                <w:szCs w:val="18"/>
              </w:rPr>
              <w:t>【2</w:t>
            </w:r>
            <w:r>
              <w:rPr>
                <w:rFonts w:ascii="宋体" w:hAnsi="宋体"/>
                <w:bCs/>
                <w:sz w:val="18"/>
                <w:szCs w:val="18"/>
              </w:rPr>
              <w:t>.35</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hAnsi="宋体"/>
                <w:bCs/>
                <w:sz w:val="18"/>
                <w:szCs w:val="18"/>
              </w:rPr>
              <w:t>（适用【</w:t>
            </w:r>
            <w:r>
              <w:rPr>
                <w:rFonts w:hint="eastAsia" w:asciiTheme="majorEastAsia" w:hAnsiTheme="majorEastAsia" w:eastAsiaTheme="majorEastAsia"/>
                <w:bCs/>
                <w:color w:val="000000" w:themeColor="text1"/>
                <w:sz w:val="18"/>
                <w:szCs w:val="18"/>
                <w14:textFill>
                  <w14:solidFill>
                    <w14:schemeClr w14:val="tx1"/>
                  </w14:solidFill>
                </w14:textFill>
              </w:rPr>
              <w:t>A</w:t>
            </w:r>
            <w:r>
              <w:rPr>
                <w:rFonts w:hint="eastAsia" w:hAnsi="宋体"/>
                <w:bCs/>
                <w:sz w:val="18"/>
                <w:szCs w:val="18"/>
              </w:rPr>
              <w:t>】类份额）</w:t>
            </w:r>
          </w:p>
          <w:p>
            <w:pPr>
              <w:spacing w:line="360" w:lineRule="auto"/>
              <w:jc w:val="left"/>
              <w:rPr>
                <w:rFonts w:ascii="宋体" w:hAnsi="宋体"/>
                <w:b/>
                <w:bCs/>
                <w:sz w:val="18"/>
                <w:szCs w:val="18"/>
              </w:rPr>
            </w:pP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业绩比较基准：年化</w:t>
            </w:r>
            <w:r>
              <w:rPr>
                <w:rFonts w:hint="eastAsia" w:ascii="宋体" w:hAnsi="宋体"/>
                <w:bCs/>
                <w:sz w:val="18"/>
                <w:szCs w:val="18"/>
              </w:rPr>
              <w:t>【2</w:t>
            </w:r>
            <w:r>
              <w:rPr>
                <w:rFonts w:ascii="宋体" w:hAnsi="宋体"/>
                <w:bCs/>
                <w:sz w:val="18"/>
                <w:szCs w:val="18"/>
              </w:rPr>
              <w:t>.25</w:t>
            </w:r>
            <w:r>
              <w:rPr>
                <w:rFonts w:hint="eastAsia" w:ascii="宋体" w:hAnsi="宋体"/>
                <w:bCs/>
                <w:sz w:val="18"/>
                <w:szCs w:val="18"/>
              </w:rPr>
              <w:t>%</w:t>
            </w:r>
            <w:r>
              <w:rPr>
                <w:rFonts w:ascii="宋体" w:hAnsi="宋体"/>
                <w:bCs/>
                <w:sz w:val="18"/>
                <w:szCs w:val="18"/>
              </w:rPr>
              <w:t>-4.1</w:t>
            </w:r>
            <w:r>
              <w:rPr>
                <w:rFonts w:hint="eastAsia" w:ascii="宋体" w:hAnsi="宋体"/>
                <w:bCs/>
                <w:sz w:val="18"/>
                <w:szCs w:val="18"/>
              </w:rPr>
              <w:t>%</w:t>
            </w:r>
            <w:r>
              <w:rPr>
                <w:rFonts w:ascii="宋体" w:hAnsi="宋体"/>
                <w:bCs/>
                <w:sz w:val="18"/>
                <w:szCs w:val="18"/>
              </w:rPr>
              <w:t>】</w:t>
            </w:r>
            <w:r>
              <w:rPr>
                <w:rFonts w:hint="eastAsia" w:hAnsi="宋体"/>
                <w:bCs/>
                <w:sz w:val="18"/>
                <w:szCs w:val="18"/>
              </w:rPr>
              <w:t>（适用【</w:t>
            </w:r>
            <w:r>
              <w:rPr>
                <w:rFonts w:asciiTheme="majorEastAsia" w:hAnsiTheme="majorEastAsia" w:eastAsiaTheme="majorEastAsia"/>
                <w:bCs/>
                <w:color w:val="000000" w:themeColor="text1"/>
                <w:sz w:val="18"/>
                <w:szCs w:val="18"/>
                <w14:textFill>
                  <w14:solidFill>
                    <w14:schemeClr w14:val="tx1"/>
                  </w14:solidFill>
                </w14:textFill>
              </w:rPr>
              <w:t>B</w:t>
            </w:r>
            <w:r>
              <w:rPr>
                <w:rFonts w:hint="eastAsia" w:hAnsi="宋体"/>
                <w:bCs/>
                <w:sz w:val="18"/>
                <w:szCs w:val="18"/>
              </w:rPr>
              <w:t>】类份额）</w:t>
            </w:r>
          </w:p>
          <w:p>
            <w:pPr>
              <w:spacing w:line="360" w:lineRule="auto"/>
              <w:jc w:val="left"/>
              <w:rPr>
                <w:rFonts w:hAnsi="宋体"/>
                <w:bCs/>
                <w:sz w:val="18"/>
                <w:szCs w:val="18"/>
              </w:rPr>
            </w:pP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业绩比较基准：年化</w:t>
            </w:r>
            <w:r>
              <w:rPr>
                <w:rFonts w:hint="eastAsia" w:ascii="宋体" w:hAnsi="宋体"/>
                <w:bCs/>
                <w:sz w:val="18"/>
                <w:szCs w:val="18"/>
              </w:rPr>
              <w:t>【2</w:t>
            </w:r>
            <w:r>
              <w:rPr>
                <w:rFonts w:ascii="宋体" w:hAnsi="宋体"/>
                <w:bCs/>
                <w:sz w:val="18"/>
                <w:szCs w:val="18"/>
              </w:rPr>
              <w:t>.15</w:t>
            </w:r>
            <w:r>
              <w:rPr>
                <w:rFonts w:hint="eastAsia" w:ascii="宋体" w:hAnsi="宋体"/>
                <w:bCs/>
                <w:sz w:val="18"/>
                <w:szCs w:val="18"/>
              </w:rPr>
              <w:t>%</w:t>
            </w:r>
            <w:r>
              <w:rPr>
                <w:rFonts w:ascii="宋体" w:hAnsi="宋体"/>
                <w:bCs/>
                <w:sz w:val="18"/>
                <w:szCs w:val="18"/>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r>
              <w:rPr>
                <w:rFonts w:hint="eastAsia" w:hAnsi="宋体"/>
                <w:bCs/>
                <w:sz w:val="18"/>
                <w:szCs w:val="18"/>
              </w:rPr>
              <w:t>（适用【</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hAnsi="宋体"/>
                <w:bCs/>
                <w:sz w:val="18"/>
                <w:szCs w:val="18"/>
              </w:rPr>
              <w:t>】类份额）</w:t>
            </w:r>
          </w:p>
          <w:p>
            <w:pPr>
              <w:spacing w:line="360" w:lineRule="auto"/>
              <w:jc w:val="left"/>
              <w:rPr>
                <w:rFonts w:ascii="宋体" w:hAnsi="宋体"/>
                <w:b/>
                <w:bCs/>
                <w:sz w:val="18"/>
                <w:szCs w:val="18"/>
              </w:rPr>
            </w:pP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业绩比较基准：年化</w:t>
            </w:r>
            <w:r>
              <w:rPr>
                <w:rFonts w:hint="eastAsia" w:ascii="宋体" w:hAnsi="宋体"/>
                <w:bCs/>
                <w:sz w:val="18"/>
                <w:szCs w:val="18"/>
              </w:rPr>
              <w:t>【2</w:t>
            </w:r>
            <w:r>
              <w:rPr>
                <w:rFonts w:ascii="宋体" w:hAnsi="宋体"/>
                <w:bCs/>
                <w:sz w:val="18"/>
                <w:szCs w:val="18"/>
              </w:rPr>
              <w:t>.25</w:t>
            </w:r>
            <w:r>
              <w:rPr>
                <w:rFonts w:hint="eastAsia" w:ascii="宋体" w:hAnsi="宋体"/>
                <w:bCs/>
                <w:sz w:val="18"/>
                <w:szCs w:val="18"/>
              </w:rPr>
              <w:t>%</w:t>
            </w:r>
            <w:r>
              <w:rPr>
                <w:rFonts w:ascii="宋体" w:hAnsi="宋体"/>
                <w:bCs/>
                <w:sz w:val="18"/>
                <w:szCs w:val="18"/>
              </w:rPr>
              <w:t>-4.1</w:t>
            </w:r>
            <w:r>
              <w:rPr>
                <w:rFonts w:hint="eastAsia" w:ascii="宋体" w:hAnsi="宋体"/>
                <w:bCs/>
                <w:sz w:val="18"/>
                <w:szCs w:val="18"/>
              </w:rPr>
              <w:t>%</w:t>
            </w:r>
            <w:r>
              <w:rPr>
                <w:rFonts w:ascii="宋体" w:hAnsi="宋体"/>
                <w:bCs/>
                <w:sz w:val="18"/>
                <w:szCs w:val="18"/>
              </w:rPr>
              <w:t>】</w:t>
            </w:r>
            <w:r>
              <w:rPr>
                <w:rFonts w:hint="eastAsia" w:hAnsi="宋体"/>
                <w:bCs/>
                <w:sz w:val="18"/>
                <w:szCs w:val="18"/>
              </w:rPr>
              <w:t>（适用【</w:t>
            </w:r>
            <w:r>
              <w:rPr>
                <w:rFonts w:asciiTheme="majorEastAsia" w:hAnsiTheme="majorEastAsia" w:eastAsiaTheme="majorEastAsia"/>
                <w:bCs/>
                <w:color w:val="000000" w:themeColor="text1"/>
                <w:sz w:val="18"/>
                <w:szCs w:val="18"/>
                <w14:textFill>
                  <w14:solidFill>
                    <w14:schemeClr w14:val="tx1"/>
                  </w14:solidFill>
                </w14:textFill>
              </w:rPr>
              <w:t>D</w:t>
            </w:r>
            <w:r>
              <w:rPr>
                <w:rFonts w:hint="eastAsia" w:hAnsi="宋体"/>
                <w:bCs/>
                <w:sz w:val="18"/>
                <w:szCs w:val="18"/>
              </w:rPr>
              <w:t>】类份额）</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2.业绩比较基准的提示：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（适用【A</w:t>
            </w:r>
            <w:r>
              <w:rPr>
                <w:rFonts w:hAnsi="宋体"/>
                <w:bCs/>
                <w:sz w:val="18"/>
                <w:szCs w:val="18"/>
              </w:rPr>
              <w:t>/B/C/D</w:t>
            </w:r>
            <w:r>
              <w:rPr>
                <w:rFonts w:hint="eastAsia" w:hAnsi="宋体"/>
                <w:bCs/>
                <w:sz w:val="18"/>
                <w:szCs w:val="18"/>
              </w:rPr>
              <w:t>】类份额）</w:t>
            </w:r>
          </w:p>
          <w:p>
            <w:pPr>
              <w:spacing w:line="360" w:lineRule="auto"/>
              <w:jc w:val="left"/>
              <w:rPr>
                <w:rFonts w:ascii="宋体" w:hAnsi="宋体"/>
                <w:sz w:val="18"/>
              </w:rPr>
            </w:pPr>
            <w:r>
              <w:rPr>
                <w:rFonts w:ascii="宋体" w:hAnsi="宋体"/>
                <w:b/>
                <w:bCs/>
                <w:sz w:val="18"/>
                <w:szCs w:val="18"/>
              </w:rPr>
              <w:t>1.业绩报酬计提基准的设置</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asciiTheme="majorEastAsia" w:hAnsiTheme="majorEastAsia" w:eastAsiaTheme="majorEastAsia"/>
                <w:bCs/>
                <w:color w:val="000000" w:themeColor="text1"/>
                <w:sz w:val="18"/>
                <w:szCs w:val="18"/>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asciiTheme="majorEastAsia" w:hAnsiTheme="majorEastAsia" w:eastAsiaTheme="majorEastAsia"/>
                <w:bCs/>
                <w:color w:val="000000" w:themeColor="text1"/>
                <w:sz w:val="18"/>
                <w:szCs w:val="18"/>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无。</w:t>
            </w:r>
          </w:p>
          <w:p>
            <w:pPr>
              <w:spacing w:line="360" w:lineRule="auto"/>
              <w:rPr>
                <w:rFonts w:ascii="黑体" w:hAnsi="黑体" w:eastAsia="黑体"/>
                <w:bCs/>
                <w:sz w:val="18"/>
                <w:szCs w:val="18"/>
              </w:rPr>
            </w:pPr>
            <w:r>
              <w:rPr>
                <w:rFonts w:hint="eastAsia"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6"/>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2" w:name="_Toc92377132"/>
      <w:bookmarkStart w:id="73" w:name="_Toc79154666"/>
      <w:bookmarkStart w:id="74" w:name="_Toc4403"/>
      <w:r>
        <w:rPr>
          <w:rFonts w:ascii="Times New Roman"/>
          <w:sz w:val="30"/>
        </w:rPr>
        <w:t>第</w:t>
      </w:r>
      <w:r>
        <w:rPr>
          <w:rFonts w:hint="eastAsia" w:ascii="Times New Roman"/>
          <w:sz w:val="30"/>
        </w:rPr>
        <w:t>三条</w:t>
      </w:r>
      <w:r>
        <w:rPr>
          <w:rFonts w:ascii="Times New Roman"/>
          <w:sz w:val="30"/>
        </w:rPr>
        <w:t xml:space="preserve">  </w:t>
      </w:r>
      <w:bookmarkStart w:id="75" w:name="_Toc79392573"/>
      <w:r>
        <w:rPr>
          <w:rFonts w:hint="eastAsia" w:ascii="Times New Roman"/>
          <w:sz w:val="30"/>
        </w:rPr>
        <w:t>理财产品的认购</w:t>
      </w:r>
      <w:bookmarkEnd w:id="72"/>
      <w:bookmarkEnd w:id="73"/>
      <w:bookmarkEnd w:id="74"/>
    </w:p>
    <w:p>
      <w:pPr>
        <w:spacing w:line="360" w:lineRule="auto"/>
        <w:ind w:firstLine="361" w:firstLineChars="200"/>
        <w:rPr>
          <w:rFonts w:asciiTheme="minorEastAsia" w:hAnsiTheme="minorEastAsia"/>
          <w:b/>
          <w:bCs/>
          <w:sz w:val="18"/>
          <w:szCs w:val="18"/>
        </w:rPr>
      </w:pPr>
      <w:bookmarkStart w:id="76" w:name="_Hlt88031774"/>
      <w:bookmarkEnd w:id="76"/>
      <w:bookmarkStart w:id="77"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6"/>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6"/>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6"/>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8" w:name="_Toc79154667"/>
      <w:bookmarkStart w:id="79" w:name="_Toc6529"/>
      <w:bookmarkStart w:id="80"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8"/>
      <w:bookmarkEnd w:id="79"/>
      <w:bookmarkEnd w:id="80"/>
    </w:p>
    <w:bookmarkEnd w:id="77"/>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8"/>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16"/>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6"/>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16"/>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16"/>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16"/>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8"/>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6"/>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16"/>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=赎回总金额×赎回费率</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16"/>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5"/>
    <w:p>
      <w:pPr>
        <w:pStyle w:val="2"/>
        <w:spacing w:before="0" w:after="0" w:line="360" w:lineRule="auto"/>
        <w:jc w:val="center"/>
        <w:rPr>
          <w:rFonts w:ascii="Times New Roman"/>
          <w:sz w:val="30"/>
        </w:rPr>
      </w:pPr>
      <w:bookmarkStart w:id="81" w:name="_Toc29784"/>
      <w:bookmarkStart w:id="82" w:name="_Toc90742688"/>
      <w:bookmarkStart w:id="83" w:name="_Toc27189"/>
      <w:bookmarkStart w:id="84" w:name="_Toc90742390"/>
      <w:bookmarkStart w:id="85" w:name="_Toc27226"/>
      <w:bookmarkStart w:id="86" w:name="_Toc15203"/>
      <w:bookmarkStart w:id="87" w:name="_Toc7151"/>
      <w:bookmarkStart w:id="88" w:name="_Toc79154668"/>
      <w:bookmarkStart w:id="89" w:name="_Toc74065741"/>
      <w:bookmarkStart w:id="90" w:name="_Toc22074"/>
      <w:bookmarkStart w:id="91" w:name="_Toc3266"/>
      <w:bookmarkStart w:id="92" w:name="_Toc16265"/>
      <w:bookmarkStart w:id="93" w:name="_Toc12517"/>
      <w:bookmarkStart w:id="94" w:name="_Toc6714"/>
      <w:bookmarkStart w:id="95" w:name="_Toc92377134"/>
      <w:bookmarkStart w:id="96" w:name="_Toc90742321"/>
      <w:bookmarkStart w:id="97" w:name="_Toc2994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
      <w:pPr>
        <w:pStyle w:val="16"/>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6"/>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6"/>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8" w:name="_Toc18329"/>
      <w:bookmarkStart w:id="99" w:name="_Toc26986"/>
      <w:bookmarkStart w:id="100" w:name="_Toc17912"/>
      <w:bookmarkStart w:id="101" w:name="_Toc92377135"/>
      <w:bookmarkStart w:id="102" w:name="_Toc139991735"/>
      <w:bookmarkStart w:id="103" w:name="_Toc18797"/>
      <w:bookmarkStart w:id="104" w:name="_Toc141703885"/>
      <w:bookmarkStart w:id="105" w:name="_Toc74065742"/>
      <w:bookmarkStart w:id="106" w:name="_Toc21988"/>
      <w:bookmarkStart w:id="107" w:name="_Toc7848"/>
      <w:bookmarkStart w:id="108" w:name="_Toc1823"/>
      <w:bookmarkStart w:id="109" w:name="_Toc18526"/>
      <w:bookmarkStart w:id="110" w:name="_Toc14893"/>
      <w:bookmarkStart w:id="111" w:name="_Toc4741"/>
      <w:bookmarkStart w:id="112" w:name="_Toc79154669"/>
      <w:bookmarkStart w:id="113" w:name="_Toc27967"/>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6"/>
        <w:spacing w:line="360" w:lineRule="auto"/>
        <w:ind w:firstLine="361" w:firstLineChars="200"/>
        <w:rPr>
          <w:rFonts w:asciiTheme="majorEastAsia" w:hAnsiTheme="majorEastAsia" w:eastAsiaTheme="majorEastAsia"/>
          <w:b/>
          <w:color w:val="auto"/>
          <w:sz w:val="18"/>
          <w:szCs w:val="18"/>
        </w:rPr>
      </w:pPr>
      <w:bookmarkStart w:id="114" w:name="_Hlk490214295"/>
      <w:r>
        <w:rPr>
          <w:rFonts w:hint="eastAsia" w:asciiTheme="majorEastAsia" w:hAnsiTheme="majorEastAsia" w:eastAsiaTheme="majorEastAsia"/>
          <w:b/>
          <w:color w:val="auto"/>
          <w:sz w:val="18"/>
          <w:szCs w:val="18"/>
        </w:rPr>
        <w:t>（一）理财产品的资产的保管和处分</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14"/>
    <w:p>
      <w:pPr>
        <w:pStyle w:val="2"/>
        <w:spacing w:before="0" w:after="0" w:line="360" w:lineRule="auto"/>
        <w:jc w:val="center"/>
        <w:rPr>
          <w:rFonts w:ascii="Times New Roman"/>
          <w:sz w:val="28"/>
          <w:szCs w:val="28"/>
        </w:rPr>
      </w:pPr>
      <w:bookmarkStart w:id="115" w:name="_Toc83391971"/>
      <w:bookmarkStart w:id="116" w:name="_Toc92377136"/>
      <w:bookmarkStart w:id="117" w:name="_Toc13903"/>
      <w:bookmarkStart w:id="118" w:name="_Toc23261"/>
      <w:bookmarkStart w:id="119" w:name="_Toc123102453"/>
      <w:bookmarkStart w:id="120" w:name="_Toc98560352"/>
      <w:bookmarkStart w:id="121" w:name="_Toc79392606"/>
      <w:bookmarkStart w:id="122" w:name="_Toc10463"/>
      <w:bookmarkStart w:id="123" w:name="_Toc139991736"/>
      <w:bookmarkStart w:id="124" w:name="_Toc74065743"/>
      <w:bookmarkStart w:id="125" w:name="_Toc1427"/>
      <w:bookmarkStart w:id="126" w:name="_Toc123112234"/>
      <w:bookmarkStart w:id="127" w:name="_Toc23822"/>
      <w:bookmarkStart w:id="128" w:name="_Toc7920"/>
      <w:bookmarkStart w:id="129" w:name="_Toc123051452"/>
      <w:bookmarkStart w:id="130" w:name="_Toc79154670"/>
      <w:bookmarkStart w:id="131" w:name="_Toc610"/>
      <w:bookmarkStart w:id="132" w:name="_Toc141703886"/>
      <w:bookmarkStart w:id="133" w:name="_Toc4003"/>
      <w:bookmarkStart w:id="134" w:name="_Toc17244"/>
      <w:bookmarkStart w:id="135" w:name="_Toc1270"/>
      <w:bookmarkStart w:id="136" w:name="_Toc20733"/>
      <w:bookmarkStart w:id="137" w:name="_Toc48649707"/>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15"/>
      <w:bookmarkEnd w:id="116"/>
      <w:bookmarkEnd w:id="117"/>
    </w:p>
    <w:p>
      <w:pPr>
        <w:pStyle w:val="16"/>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，每个【工作日】进行一次估值</w:t>
      </w:r>
      <w:r>
        <w:rPr>
          <w:rFonts w:hint="eastAsia" w:asciiTheme="minorEastAsia" w:hAnsiTheme="minorEastAsia" w:eastAsiaTheme="minorEastAsia"/>
          <w:color w:val="2E3033"/>
          <w:sz w:val="18"/>
          <w:szCs w:val="18"/>
        </w:rPr>
        <w:t>。</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16"/>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6"/>
        <w:spacing w:line="360" w:lineRule="auto"/>
        <w:ind w:firstLine="360" w:firstLineChars="200"/>
        <w:rPr>
          <w:rFonts w:asciiTheme="majorEastAsia" w:hAnsi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当开放式公募理财产品（现金管理类理财产品除外）遭遇大额申购或赎回时，管理人可以采用摆动定价机制，以确保估值的公平性。具体操作按照相关法律法规、监管规定和自律规则执行。</w:t>
      </w:r>
    </w:p>
    <w:p>
      <w:pPr>
        <w:pStyle w:val="16"/>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16"/>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6"/>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6"/>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6"/>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6"/>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6"/>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6"/>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6"/>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6"/>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6"/>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2"/>
        <w:spacing w:before="0" w:after="0" w:line="360" w:lineRule="auto"/>
        <w:ind w:left="60" w:firstLine="10"/>
        <w:jc w:val="center"/>
        <w:rPr>
          <w:rFonts w:ascii="Times New Roman"/>
          <w:sz w:val="30"/>
        </w:rPr>
      </w:pPr>
      <w:bookmarkStart w:id="138" w:name="_Hlt70481650"/>
      <w:bookmarkEnd w:id="138"/>
      <w:bookmarkStart w:id="139" w:name="_Toc79154671"/>
      <w:bookmarkStart w:id="140" w:name="_Toc139991737"/>
      <w:bookmarkStart w:id="141" w:name="_Toc74065744"/>
      <w:bookmarkStart w:id="142" w:name="_Toc26207"/>
      <w:bookmarkStart w:id="143" w:name="_Toc15143"/>
      <w:bookmarkStart w:id="144" w:name="_Toc123051453"/>
      <w:bookmarkStart w:id="145" w:name="_Toc141703887"/>
      <w:bookmarkStart w:id="146" w:name="_Toc12245"/>
      <w:bookmarkStart w:id="147" w:name="_Toc98560353"/>
      <w:bookmarkStart w:id="148" w:name="_Toc92377137"/>
      <w:bookmarkStart w:id="149" w:name="_Toc31653"/>
      <w:bookmarkStart w:id="150" w:name="_Toc14835"/>
      <w:bookmarkStart w:id="151" w:name="_Toc123112235"/>
      <w:bookmarkStart w:id="152" w:name="_Toc4020"/>
      <w:bookmarkStart w:id="153" w:name="_Toc123102454"/>
      <w:bookmarkStart w:id="154" w:name="_Toc29251"/>
      <w:bookmarkStart w:id="155" w:name="_Toc31235"/>
      <w:bookmarkStart w:id="156" w:name="_Toc3601"/>
      <w:bookmarkStart w:id="157" w:name="_Toc6405"/>
      <w:bookmarkStart w:id="158" w:name="_Toc3164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Hlt55355235"/>
      <w:bookmarkEnd w:id="159"/>
      <w:bookmarkStart w:id="160" w:name="_Toc15118234"/>
      <w:bookmarkStart w:id="161" w:name="_Toc79392580"/>
      <w:bookmarkStart w:id="162" w:name="_Toc523711668"/>
      <w:bookmarkStart w:id="163" w:name="_Toc57530239"/>
    </w:p>
    <w:p>
      <w:pPr>
        <w:pStyle w:val="16"/>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6"/>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6"/>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6"/>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6"/>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6"/>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6"/>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6"/>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6"/>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6"/>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6"/>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6"/>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6"/>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6"/>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6"/>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6"/>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6"/>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60"/>
    <w:bookmarkEnd w:id="161"/>
    <w:bookmarkEnd w:id="162"/>
    <w:bookmarkEnd w:id="163"/>
    <w:p>
      <w:pPr>
        <w:pStyle w:val="2"/>
        <w:spacing w:before="0" w:after="0" w:line="360" w:lineRule="auto"/>
        <w:jc w:val="center"/>
        <w:rPr>
          <w:rFonts w:ascii="Times New Roman"/>
          <w:sz w:val="30"/>
        </w:rPr>
      </w:pPr>
      <w:bookmarkStart w:id="164" w:name="_Hlt88897298"/>
      <w:bookmarkEnd w:id="164"/>
      <w:bookmarkStart w:id="165" w:name="_Hlt88825574"/>
      <w:bookmarkEnd w:id="165"/>
      <w:bookmarkStart w:id="166" w:name="_Toc139991738"/>
      <w:bookmarkStart w:id="167" w:name="_Toc98560354"/>
      <w:bookmarkStart w:id="168" w:name="_Toc6447"/>
      <w:bookmarkStart w:id="169" w:name="_Toc9706"/>
      <w:bookmarkStart w:id="170" w:name="_Toc3321"/>
      <w:bookmarkStart w:id="171" w:name="_Toc123051454"/>
      <w:bookmarkStart w:id="172" w:name="_Toc11030"/>
      <w:bookmarkStart w:id="173" w:name="_Toc79392583"/>
      <w:bookmarkStart w:id="174" w:name="_Toc10650"/>
      <w:bookmarkStart w:id="175" w:name="_Toc25783"/>
      <w:bookmarkStart w:id="176" w:name="_Toc79154672"/>
      <w:bookmarkStart w:id="177" w:name="_Toc123112236"/>
      <w:bookmarkStart w:id="178" w:name="_Toc6394"/>
      <w:bookmarkStart w:id="179" w:name="_Toc3771"/>
      <w:bookmarkStart w:id="180" w:name="_Toc141703888"/>
      <w:bookmarkStart w:id="181" w:name="_Toc4559"/>
      <w:bookmarkStart w:id="182" w:name="_Toc123102455"/>
      <w:bookmarkStart w:id="183" w:name="_Toc7058"/>
      <w:bookmarkStart w:id="184" w:name="_Toc18567"/>
      <w:bookmarkStart w:id="185" w:name="_Toc74065745"/>
      <w:bookmarkStart w:id="186" w:name="_Toc9237713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13"/>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6"/>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③在投资者提出赎回申请的产品份额所对应的赎回日提取超额业绩报酬的，超额业绩报酬从赎回资金中扣除；在产品终止日提取超额业绩报酬的，超额业绩报酬从清算资金中扣除；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产品份额超额业绩报酬计提日为投资者提出赎回申请的产品份额所对应的赎回日或产品终止日。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业绩报酬计提基准和比例有所调整，以该产品份额持有期间调整前后的业绩报酬计提基准和比例分别测算整个份额持有期间应收取的超额业绩报酬数值，并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6"/>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6"/>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6"/>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87" w:name="_Toc3963"/>
      <w:bookmarkStart w:id="188" w:name="_Toc1745"/>
      <w:r>
        <w:br w:type="page"/>
      </w:r>
      <w:bookmarkStart w:id="189" w:name="_Toc98560355"/>
      <w:bookmarkStart w:id="190" w:name="_Toc25397"/>
      <w:bookmarkStart w:id="191" w:name="_Toc123112237"/>
      <w:bookmarkStart w:id="192" w:name="_Toc10398"/>
      <w:bookmarkStart w:id="193" w:name="_Toc3572"/>
      <w:bookmarkStart w:id="194" w:name="_Toc74065746"/>
      <w:bookmarkStart w:id="195" w:name="_Toc725"/>
      <w:bookmarkStart w:id="196" w:name="_Toc139991739"/>
      <w:bookmarkStart w:id="197" w:name="_Toc92377139"/>
      <w:bookmarkStart w:id="198" w:name="_Toc79154673"/>
      <w:bookmarkStart w:id="199" w:name="_Toc123051455"/>
      <w:bookmarkStart w:id="200" w:name="_Toc3080"/>
      <w:bookmarkStart w:id="201" w:name="_Toc18206"/>
      <w:bookmarkStart w:id="202" w:name="_Toc123102456"/>
      <w:bookmarkStart w:id="203" w:name="_Toc141703889"/>
      <w:bookmarkStart w:id="204" w:name="_Toc21735"/>
      <w:bookmarkStart w:id="205" w:name="_Toc16164"/>
      <w:bookmarkStart w:id="206" w:name="_Toc31821"/>
      <w:r>
        <w:rPr>
          <w:rFonts w:hint="eastAsia"/>
          <w:sz w:val="30"/>
        </w:rPr>
        <w:t>第十条</w:t>
      </w:r>
      <w:r>
        <w:rPr>
          <w:sz w:val="30"/>
        </w:rPr>
        <w:t xml:space="preserve">  </w:t>
      </w:r>
      <w:r>
        <w:rPr>
          <w:rFonts w:hint="eastAsia"/>
          <w:sz w:val="30"/>
        </w:rPr>
        <w:t>理财产品的终止与清算</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361" w:firstLineChars="200"/>
        <w:rPr>
          <w:rFonts w:asciiTheme="majorEastAsia" w:hAnsiTheme="majorEastAsia" w:eastAsiaTheme="majorEastAsia"/>
          <w:b/>
          <w:bCs/>
          <w:sz w:val="18"/>
          <w:szCs w:val="18"/>
        </w:rPr>
      </w:pPr>
      <w:bookmarkStart w:id="207" w:name="_Toc79392593"/>
      <w:bookmarkStart w:id="208" w:name="_Toc57530252"/>
      <w:bookmarkStart w:id="209"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207"/>
    <w:bookmarkEnd w:id="208"/>
    <w:bookmarkEnd w:id="209"/>
    <w:p>
      <w:pPr>
        <w:pStyle w:val="2"/>
        <w:spacing w:before="0" w:after="0" w:line="360" w:lineRule="auto"/>
        <w:jc w:val="center"/>
        <w:rPr>
          <w:rFonts w:ascii="Times New Roman"/>
          <w:sz w:val="18"/>
          <w:szCs w:val="18"/>
        </w:rPr>
      </w:pPr>
      <w:r>
        <w:rPr>
          <w:rFonts w:ascii="Times New Roman"/>
          <w:b w:val="0"/>
          <w:bCs w:val="0"/>
          <w:kern w:val="2"/>
        </w:rPr>
        <w:br w:type="page"/>
      </w:r>
      <w:bookmarkStart w:id="210" w:name="_Toc92377140"/>
      <w:bookmarkStart w:id="211" w:name="_Toc7953"/>
      <w:bookmarkStart w:id="212" w:name="_Toc141703890"/>
      <w:bookmarkStart w:id="213" w:name="_Toc79154674"/>
      <w:bookmarkStart w:id="214" w:name="_Toc123051456"/>
      <w:bookmarkStart w:id="215" w:name="_Toc29408"/>
      <w:bookmarkStart w:id="216" w:name="_Toc48649708"/>
      <w:bookmarkStart w:id="217" w:name="_Toc74065747"/>
      <w:bookmarkStart w:id="218" w:name="_Toc32092"/>
      <w:bookmarkStart w:id="219" w:name="_Toc123112238"/>
      <w:bookmarkStart w:id="220" w:name="_Toc21237"/>
      <w:bookmarkStart w:id="221" w:name="_Toc8791"/>
      <w:bookmarkStart w:id="222" w:name="_Toc739"/>
      <w:bookmarkStart w:id="223" w:name="_Toc123102457"/>
      <w:bookmarkStart w:id="224" w:name="_Toc3329"/>
      <w:bookmarkStart w:id="225" w:name="_Toc139991740"/>
      <w:bookmarkStart w:id="226" w:name="_Toc32584"/>
      <w:bookmarkStart w:id="227" w:name="_Toc83391975"/>
      <w:bookmarkStart w:id="228" w:name="_Toc17198"/>
      <w:bookmarkStart w:id="229" w:name="_Toc98560356"/>
      <w:bookmarkStart w:id="230" w:name="_Toc5170"/>
      <w:bookmarkStart w:id="231" w:name="_Toc17920"/>
      <w:bookmarkStart w:id="232" w:name="_Toc79392622"/>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0"/>
      <w:bookmarkEnd w:id="211"/>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w:t>
      </w:r>
      <w:r>
        <w:rPr>
          <w:rFonts w:hint="eastAsia" w:ascii="宋体" w:hAnsi="宋体"/>
          <w:bCs/>
          <w:sz w:val="18"/>
          <w:szCs w:val="18"/>
        </w:rPr>
        <w:t>产品管理人</w:t>
      </w:r>
      <w:r>
        <w:rPr>
          <w:rFonts w:ascii="宋体" w:hAnsi="宋体"/>
          <w:bCs/>
          <w:sz w:val="18"/>
          <w:szCs w:val="18"/>
        </w:rPr>
        <w:t>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期间，每个【工作日】向投资者披露一次估值日公告，估值日公告披露的内容包括估值日的产品份额净值、产品份额累计净值等。如遇法定节假日顺延。此外，如遇其他特殊情况，以产品管理人信息披露为准。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spacing w:line="360" w:lineRule="auto"/>
        <w:ind w:firstLine="480" w:firstLineChars="200"/>
        <w:rPr>
          <w:bCs/>
          <w:sz w:val="24"/>
        </w:rPr>
      </w:pPr>
      <w:r>
        <w:rPr>
          <w:sz w:val="24"/>
        </w:rPr>
        <w:br w:type="page"/>
      </w:r>
    </w:p>
    <w:p>
      <w:pPr>
        <w:pStyle w:val="2"/>
        <w:spacing w:before="0" w:after="0" w:line="360" w:lineRule="auto"/>
        <w:jc w:val="center"/>
        <w:rPr>
          <w:rFonts w:ascii="Times New Roman"/>
          <w:b w:val="0"/>
          <w:sz w:val="30"/>
        </w:rPr>
      </w:pPr>
      <w:bookmarkStart w:id="233" w:name="_Toc79154675"/>
      <w:bookmarkStart w:id="234" w:name="_Toc92377141"/>
      <w:bookmarkStart w:id="235" w:name="_Toc30149"/>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33"/>
      <w:bookmarkEnd w:id="234"/>
      <w:bookmarkEnd w:id="23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w:t>
      </w:r>
    </w:p>
    <w:p>
      <w:pPr>
        <w:pStyle w:val="14"/>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延期终止风险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16"/>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兴银理财【稳添利最短持有期日开固收类】理财产品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6"/>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兴银理财【稳添利最短持有期日开固收类】</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sz w:val="18"/>
          <w:szCs w:val="18"/>
        </w:rPr>
        <w:t>兴银理财稳添利季盈15号(3个月最短持有期)日开固收类理财产品</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Theme="majorEastAsia" w:hAnsiTheme="majorEastAsia" w:eastAsiaTheme="majorEastAsia"/>
          <w:bCs/>
          <w:kern w:val="0"/>
          <w:sz w:val="18"/>
          <w:szCs w:val="18"/>
        </w:rPr>
        <w:t>【</w:t>
      </w:r>
      <w:r>
        <w:rPr>
          <w:rFonts w:hint="eastAsia" w:ascii="宋体" w:hAnsi="宋体"/>
          <w:sz w:val="18"/>
          <w:szCs w:val="18"/>
        </w:rPr>
        <w:t>兴银稳添利季盈15号A（兴普惠）</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（适用【A】类份额）</w:t>
      </w:r>
    </w:p>
    <w:p>
      <w:pPr>
        <w:ind w:firstLine="420"/>
        <w:rPr>
          <w:rFonts w:ascii="宋体" w:hAnsi="宋体" w:cs="仿宋_GB2312"/>
          <w:kern w:val="0"/>
          <w:sz w:val="18"/>
          <w:szCs w:val="18"/>
        </w:rPr>
      </w:pPr>
      <w:r>
        <w:rPr>
          <w:rFonts w:hint="eastAsia" w:asciiTheme="majorEastAsia" w:hAnsiTheme="majorEastAsia" w:eastAsiaTheme="majorEastAsia"/>
          <w:bCs/>
          <w:kern w:val="0"/>
          <w:sz w:val="18"/>
          <w:szCs w:val="18"/>
        </w:rPr>
        <w:t>【</w:t>
      </w:r>
      <w:r>
        <w:rPr>
          <w:rFonts w:hint="eastAsia" w:ascii="宋体" w:hAnsi="宋体"/>
          <w:sz w:val="18"/>
          <w:szCs w:val="18"/>
        </w:rPr>
        <w:t>兴银稳添利季盈15号B（兴普惠）</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 xml:space="preserve">】类份额） </w:t>
      </w:r>
    </w:p>
    <w:p>
      <w:pPr>
        <w:ind w:firstLine="448" w:firstLineChars="249"/>
        <w:rPr>
          <w:rFonts w:hint="eastAsia" w:ascii="宋体" w:hAnsi="宋体" w:cs="仿宋_GB2312"/>
          <w:kern w:val="0"/>
          <w:sz w:val="18"/>
          <w:szCs w:val="18"/>
        </w:rPr>
      </w:pPr>
      <w:r>
        <w:rPr>
          <w:rFonts w:hint="eastAsia" w:asciiTheme="majorEastAsia" w:hAnsiTheme="majorEastAsia" w:eastAsiaTheme="majorEastAsia"/>
          <w:bCs/>
          <w:kern w:val="0"/>
          <w:sz w:val="18"/>
          <w:szCs w:val="18"/>
        </w:rPr>
        <w:t>【</w:t>
      </w:r>
      <w:r>
        <w:rPr>
          <w:rFonts w:hint="eastAsia" w:ascii="宋体" w:hAnsi="宋体"/>
          <w:sz w:val="18"/>
          <w:szCs w:val="18"/>
        </w:rPr>
        <w:t>兴银稳添利季盈15号C（兴普惠）</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w:t>
      </w:r>
      <w:r>
        <w:rPr>
          <w:rFonts w:hint="eastAsia" w:ascii="宋体" w:hAnsi="宋体"/>
          <w:sz w:val="18"/>
          <w:szCs w:val="18"/>
        </w:rPr>
        <w:t>稳添利季盈</w:t>
      </w:r>
      <w:r>
        <w:rPr>
          <w:rFonts w:ascii="宋体" w:hAnsi="宋体"/>
          <w:sz w:val="18"/>
          <w:szCs w:val="18"/>
        </w:rPr>
        <w:t>15</w:t>
      </w:r>
      <w:r>
        <w:rPr>
          <w:rFonts w:hint="eastAsia" w:ascii="宋体" w:hAnsi="宋体"/>
          <w:sz w:val="18"/>
          <w:szCs w:val="18"/>
        </w:rPr>
        <w:t>号</w:t>
      </w:r>
      <w:r>
        <w:rPr>
          <w:rFonts w:ascii="宋体" w:hAnsi="宋体"/>
          <w:sz w:val="18"/>
          <w:szCs w:val="18"/>
        </w:rPr>
        <w:t>D(</w:t>
      </w:r>
      <w:r>
        <w:rPr>
          <w:rFonts w:hint="eastAsia" w:ascii="宋体" w:hAnsi="宋体"/>
          <w:sz w:val="18"/>
          <w:szCs w:val="18"/>
        </w:rPr>
        <w:t>兴普惠</w:t>
      </w:r>
      <w:r>
        <w:rPr>
          <w:rFonts w:ascii="宋体" w:hAnsi="宋体"/>
          <w:sz w:val="18"/>
          <w:szCs w:val="18"/>
        </w:rPr>
        <w:t>-</w:t>
      </w:r>
      <w:r>
        <w:rPr>
          <w:rFonts w:hint="eastAsia" w:ascii="宋体" w:hAnsi="宋体"/>
          <w:sz w:val="18"/>
          <w:szCs w:val="18"/>
        </w:rPr>
        <w:t>福建农信专属</w:t>
      </w:r>
      <w:r>
        <w:rPr>
          <w:rFonts w:ascii="宋体" w:hAnsi="宋体"/>
          <w:sz w:val="18"/>
          <w:szCs w:val="18"/>
        </w:rPr>
        <w:t>)</w:t>
      </w:r>
      <w:r>
        <w:rPr>
          <w:rFonts w:hint="eastAsia" w:asciiTheme="majorEastAsia" w:hAnsiTheme="majorEastAsia" w:eastAsiaTheme="majorEastAsia"/>
          <w:bCs/>
          <w:kern w:val="0"/>
          <w:sz w:val="18"/>
          <w:szCs w:val="18"/>
        </w:rPr>
        <w:t>】</w:t>
      </w:r>
      <w:r>
        <w:rPr>
          <w:rFonts w:hint="eastAsia" w:hAnsi="宋体"/>
          <w:sz w:val="18"/>
          <w:szCs w:val="18"/>
        </w:rPr>
        <w:t>（适用【</w:t>
      </w:r>
      <w:r>
        <w:rPr>
          <w:rFonts w:hAnsi="宋体"/>
          <w:sz w:val="18"/>
          <w:szCs w:val="18"/>
        </w:rPr>
        <w:t>D</w:t>
      </w:r>
      <w:r>
        <w:rPr>
          <w:rFonts w:hint="eastAsia" w:hAnsi="宋体"/>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Theme="minorEastAsia" w:hAnsiTheme="minorEastAsia"/>
          <w:sz w:val="18"/>
          <w:szCs w:val="18"/>
        </w:rPr>
        <w:t>Z7002023001454</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本理财产品风险评级最终定义为【R2</w:t>
      </w:r>
      <w:r>
        <w:rPr>
          <w:rFonts w:ascii="宋体" w:hAnsi="宋体" w:cs="仿宋_GB2312"/>
          <w:kern w:val="0"/>
          <w:sz w:val="18"/>
          <w:szCs w:val="18"/>
        </w:rPr>
        <w:t>】</w:t>
      </w:r>
      <w:r>
        <w:rPr>
          <w:rFonts w:hint="eastAsia" w:ascii="宋体" w:hAnsi="宋体" w:cs="仿宋_GB2312"/>
          <w:kern w:val="0"/>
          <w:sz w:val="18"/>
          <w:szCs w:val="18"/>
        </w:rPr>
        <w:t>（产品管理人定义的产品风险评级为【R2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；代理销售机构定义的产品风险评级为【R2】）。</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 C1、■ C2、■ C3、■ C4、■ C5、■ C6】。。</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360" w:firstLineChars="200"/>
        <w:rPr>
          <w:rFonts w:ascii="宋体" w:hAnsi="宋体"/>
          <w:sz w:val="18"/>
          <w:szCs w:val="18"/>
        </w:rPr>
      </w:pPr>
      <w:r>
        <w:rPr>
          <w:rFonts w:ascii="宋体" w:hAnsi="宋体"/>
          <w:sz w:val="18"/>
          <w:szCs w:val="18"/>
        </w:rPr>
        <w:t xml:space="preserve"> </w:t>
      </w:r>
    </w:p>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4"/>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w:t>
      </w:r>
      <w:r>
        <w:rPr>
          <w:rFonts w:hint="eastAsia" w:ascii="黑体" w:hAnsi="黑体" w:eastAsia="黑体"/>
          <w:b/>
          <w:sz w:val="28"/>
          <w:szCs w:val="28"/>
        </w:rPr>
        <w:t>稳添利最短持有期日开固收类</w:t>
      </w:r>
      <w:r>
        <w:rPr>
          <w:rStyle w:val="12"/>
          <w:rFonts w:hint="eastAsia" w:ascii="黑体" w:hAnsi="黑体" w:eastAsia="黑体"/>
          <w:sz w:val="28"/>
          <w:szCs w:val="28"/>
        </w:rPr>
        <w:t>】理财产品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6"/>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【C6】</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7"/>
        <w:gridCol w:w="486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757" w:type="dxa"/>
            <w:tcBorders>
              <w:top w:val="single" w:color="auto" w:sz="12" w:space="0"/>
              <w:left w:val="single" w:color="auto" w:sz="12" w:space="0"/>
              <w:right w:val="single" w:color="auto" w:sz="4"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60" w:type="dxa"/>
            <w:tcBorders>
              <w:top w:val="single" w:color="auto" w:sz="12" w:space="0"/>
              <w:left w:val="single" w:color="auto" w:sz="4"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激进型（R6）</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极大，收益浮动且波动极大。产品结构复杂，过往业绩及净值的历史波动率很高；或者投资标的流动性很差或为极低等级的信用主体，期限很长；或者投资衍生品以追求收益为目的，衍生品及杠杆交易对净值波动极大；估值政策非常复杂。投资者需要非常谨慎的产品选择、十分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 xml:space="preserve">激进型（C6） </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兴银理财【</w:t>
      </w:r>
      <w:r>
        <w:rPr>
          <w:rFonts w:hint="eastAsia" w:ascii="黑体" w:hAnsi="黑体" w:eastAsia="黑体"/>
          <w:b/>
          <w:sz w:val="28"/>
          <w:szCs w:val="28"/>
        </w:rPr>
        <w:t>稳添利最短持有期日开固收类</w:t>
      </w:r>
      <w:r>
        <w:rPr>
          <w:rStyle w:val="12"/>
          <w:rFonts w:hint="eastAsia" w:ascii="黑体" w:hAnsi="黑体" w:eastAsia="黑体"/>
          <w:sz w:val="28"/>
          <w:szCs w:val="28"/>
        </w:rPr>
        <w:t>】理财产品</w:t>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6"/>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w:t>
      </w:r>
      <w:r>
        <w:rPr>
          <w:rFonts w:hint="eastAsia" w:ascii="黑体" w:hAnsi="黑体" w:eastAsia="黑体"/>
          <w:b/>
          <w:sz w:val="28"/>
          <w:szCs w:val="28"/>
        </w:rPr>
        <w:t>稳添利最短持有期日开固收类</w:t>
      </w:r>
      <w:r>
        <w:rPr>
          <w:rStyle w:val="12"/>
          <w:rFonts w:hint="eastAsia" w:ascii="黑体" w:hAnsi="黑体" w:eastAsia="黑体"/>
          <w:sz w:val="28"/>
          <w:szCs w:val="28"/>
        </w:rPr>
        <w:t>】理财产品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6"/>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w:t>
      </w:r>
      <w:bookmarkStart w:id="236" w:name="_GoBack"/>
      <w:bookmarkEnd w:id="236"/>
      <w:r>
        <w:rPr>
          <w:rFonts w:hint="eastAsia" w:ascii="宋体" w:hAnsi="宋体"/>
          <w:bCs/>
          <w:sz w:val="18"/>
          <w:szCs w:val="18"/>
        </w:rPr>
        <w:t>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
      <w:pPr>
        <w:spacing w:line="360" w:lineRule="auto"/>
        <w:jc w:val="left"/>
        <w:rPr>
          <w:rFonts w:hint="eastAsia" w:ascii="宋体" w:hAnsi="宋体"/>
          <w:b/>
          <w:sz w:val="18"/>
          <w:szCs w:val="18"/>
        </w:rPr>
      </w:pPr>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4"/>
          <w:jc w:val="center"/>
        </w:pPr>
        <w:r>
          <w:fldChar w:fldCharType="begin"/>
        </w:r>
        <w:r>
          <w:instrText xml:space="preserve"> PAGE   \* MERGEFORMAT </w:instrText>
        </w:r>
        <w:r>
          <w:fldChar w:fldCharType="separate"/>
        </w:r>
        <w:r>
          <w:rPr>
            <w:lang w:val="zh-CN"/>
          </w:rPr>
          <w:t>21</w:t>
        </w:r>
        <w:r>
          <w:fldChar w:fldCharType="end"/>
        </w:r>
      </w:p>
    </w:sdtContent>
  </w:sdt>
  <w:p>
    <w:pPr>
      <w:pStyle w:val="3"/>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rPr>
    </w:pPr>
    <w:r>
      <w:rPr>
        <w:rFonts w:hint="eastAsia"/>
        <w:b/>
      </w:rPr>
      <w:t>投资协议书</w:t>
    </w:r>
  </w:p>
  <w:p>
    <w:pPr>
      <w:pStyle w:val="5"/>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p>
    <w:pPr>
      <w:pStyle w:val="5"/>
      <w:pBdr>
        <w:bottom w:val="none" w:color="auto" w:sz="0" w:space="0"/>
      </w:pBdr>
      <w:jc w:val="right"/>
      <w:rPr>
        <w:rFonts w:ascii="Times New Roman" w:hAnsi="Times New Roman" w:cs="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F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qFormat/>
    <w:uiPriority w:val="99"/>
    <w:rPr>
      <w:sz w:val="21"/>
      <w:szCs w:val="21"/>
    </w:rPr>
  </w:style>
  <w:style w:type="paragraph" w:styleId="14">
    <w:name w:val="List Paragraph"/>
    <w:basedOn w:val="1"/>
    <w:qFormat/>
    <w:uiPriority w:val="0"/>
    <w:pPr>
      <w:ind w:firstLine="420" w:firstLineChars="200"/>
    </w:p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8">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2024-03-20T01:21:32Z</dcterms:created>
  <dc:creator>cib</dc:creator>
  <cp:lastModifiedBy>Administrator</cp:lastModifiedBy>
  <dcterms:modified xsi:type="dcterms:W3CDTF">2024-03-20T01:23:30Z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