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w:t>
      </w:r>
      <w:r>
        <w:rPr>
          <w:rStyle w:val="10"/>
          <w:rFonts w:hint="eastAsia" w:ascii="黑体" w:hAnsi="黑体" w:eastAsia="黑体"/>
          <w:sz w:val="28"/>
          <w:szCs w:val="28"/>
        </w:rPr>
        <w:t>稳利丰收封闭式固收类</w:t>
      </w:r>
      <w:r>
        <w:rPr>
          <w:rFonts w:hint="eastAsia" w:ascii="黑体" w:hAnsi="黑体" w:eastAsia="黑体"/>
          <w:b/>
          <w:bCs/>
          <w:sz w:val="28"/>
          <w:szCs w:val="28"/>
        </w:rPr>
        <w:t>】</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【兴银理财稳利丰收封闭式60</w:t>
      </w:r>
      <w:r>
        <w:rPr>
          <w:rFonts w:hint="eastAsia" w:ascii="宋体" w:hAnsi="宋体" w:cs="仿宋_GB2312"/>
          <w:kern w:val="0"/>
          <w:sz w:val="18"/>
          <w:szCs w:val="18"/>
          <w:lang w:val="en-US" w:eastAsia="zh-CN"/>
        </w:rPr>
        <w:t>20</w:t>
      </w:r>
      <w:r>
        <w:rPr>
          <w:rFonts w:hint="eastAsia" w:ascii="宋体" w:hAnsi="宋体" w:cs="仿宋_GB2312"/>
          <w:kern w:val="0"/>
          <w:sz w:val="18"/>
          <w:szCs w:val="18"/>
        </w:rPr>
        <w:t>号固收类理财产品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p>
    <w:p>
      <w:pPr>
        <w:ind w:firstLine="448" w:firstLineChars="249"/>
        <w:rPr>
          <w:rFonts w:ascii="宋体" w:hAnsi="宋体" w:cs="仿宋_GB2312"/>
          <w:kern w:val="0"/>
          <w:sz w:val="18"/>
          <w:szCs w:val="18"/>
        </w:rPr>
      </w:pPr>
      <w:r>
        <w:rPr>
          <w:rFonts w:hint="eastAsia" w:ascii="宋体" w:hAnsi="宋体" w:cs="仿宋_GB2312"/>
          <w:kern w:val="0"/>
          <w:sz w:val="18"/>
          <w:szCs w:val="18"/>
        </w:rPr>
        <w:t>【稳利丰收封闭式60</w:t>
      </w:r>
      <w:r>
        <w:rPr>
          <w:rFonts w:hint="eastAsia" w:ascii="宋体" w:hAnsi="宋体" w:cs="仿宋_GB2312"/>
          <w:kern w:val="0"/>
          <w:sz w:val="18"/>
          <w:szCs w:val="18"/>
          <w:lang w:val="en-US" w:eastAsia="zh-CN"/>
        </w:rPr>
        <w:t>20</w:t>
      </w:r>
      <w:r>
        <w:rPr>
          <w:rFonts w:hint="eastAsia" w:ascii="宋体" w:hAnsi="宋体" w:cs="仿宋_GB2312"/>
          <w:kern w:val="0"/>
          <w:sz w:val="18"/>
          <w:szCs w:val="18"/>
        </w:rPr>
        <w:t>号A】（适用【A】类份额）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【稳利丰收封闭式60</w:t>
      </w:r>
      <w:r>
        <w:rPr>
          <w:rFonts w:hint="eastAsia" w:ascii="宋体" w:hAnsi="宋体" w:cs="仿宋_GB2312"/>
          <w:kern w:val="0"/>
          <w:sz w:val="18"/>
          <w:szCs w:val="18"/>
          <w:lang w:val="en-US" w:eastAsia="zh-CN"/>
        </w:rPr>
        <w:t>20</w:t>
      </w:r>
      <w:r>
        <w:rPr>
          <w:rFonts w:hint="eastAsia" w:ascii="宋体" w:hAnsi="宋体" w:cs="仿宋_GB2312"/>
          <w:kern w:val="0"/>
          <w:sz w:val="18"/>
          <w:szCs w:val="18"/>
        </w:rPr>
        <w:t>号</w:t>
      </w:r>
      <w:r>
        <w:rPr>
          <w:rFonts w:ascii="宋体" w:hAnsi="宋体" w:cs="仿宋_GB2312"/>
          <w:kern w:val="0"/>
          <w:sz w:val="18"/>
          <w:szCs w:val="18"/>
        </w:rPr>
        <w:t>B</w:t>
      </w:r>
      <w:r>
        <w:rPr>
          <w:rFonts w:hint="eastAsia" w:ascii="宋体" w:hAnsi="宋体" w:cs="仿宋_GB2312"/>
          <w:kern w:val="0"/>
          <w:sz w:val="18"/>
          <w:szCs w:val="18"/>
        </w:rPr>
        <w:t>】（适用【</w:t>
      </w:r>
      <w:r>
        <w:rPr>
          <w:rFonts w:ascii="宋体" w:hAnsi="宋体" w:cs="仿宋_GB2312"/>
          <w:kern w:val="0"/>
          <w:sz w:val="18"/>
          <w:szCs w:val="18"/>
        </w:rPr>
        <w:t>B</w:t>
      </w:r>
      <w:r>
        <w:rPr>
          <w:rFonts w:hint="eastAsia" w:ascii="宋体" w:hAnsi="宋体" w:cs="仿宋_GB2312"/>
          <w:kern w:val="0"/>
          <w:sz w:val="18"/>
          <w:szCs w:val="18"/>
        </w:rPr>
        <w:t>】类份额）</w:t>
      </w:r>
      <w:permEnd w:id="2"/>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Z7002024000015</w:t>
      </w:r>
      <w:r>
        <w:rPr>
          <w:rFonts w:ascii="宋体" w:hAnsi="宋体" w:cs="仿宋_GB2312"/>
          <w:kern w:val="0"/>
          <w:sz w:val="18"/>
          <w:szCs w:val="18"/>
        </w:rPr>
        <w:t>】</w:t>
      </w:r>
      <w:permEnd w:id="3"/>
      <w:bookmarkStart w:id="0" w:name="_GoBack"/>
      <w:bookmarkEnd w:id="0"/>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Theme="majorEastAsia" w:hAnsiTheme="majorEastAsia" w:eastAsiaTheme="majorEastAsia"/>
          <w:bCs/>
          <w:sz w:val="18"/>
          <w:szCs w:val="18"/>
        </w:rPr>
      </w:pPr>
      <w:permStart w:id="5" w:edGrp="everyone"/>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6个月</w:t>
      </w:r>
      <w:r>
        <w:rPr>
          <w:rFonts w:hint="eastAsia" w:asciiTheme="majorEastAsia" w:hAnsiTheme="majorEastAsia" w:eastAsiaTheme="majorEastAsia"/>
          <w:bCs/>
          <w:sz w:val="18"/>
          <w:szCs w:val="18"/>
        </w:rPr>
        <w:t>】</w:t>
      </w:r>
    </w:p>
    <w:p>
      <w:pPr>
        <w:ind w:firstLine="448" w:firstLineChars="249"/>
        <w:rPr>
          <w:rFonts w:ascii="宋体" w:hAnsi="宋体" w:cs="仿宋_GB2312"/>
          <w:kern w:val="0"/>
          <w:sz w:val="18"/>
          <w:szCs w:val="18"/>
        </w:rPr>
      </w:pPr>
      <w:r>
        <w:rPr>
          <w:rFonts w:hint="eastAsia" w:asciiTheme="majorEastAsia" w:hAnsiTheme="majorEastAsia" w:eastAsiaTheme="majorEastAsia"/>
          <w:bCs/>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【R2</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【R2】</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【R2】</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C6】</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pStyle w:val="14"/>
        <w:ind w:firstLine="360"/>
        <w:rPr>
          <w:rFonts w:ascii="宋体" w:hAnsi="宋体"/>
          <w:bCs/>
          <w:sz w:val="18"/>
          <w:szCs w:val="18"/>
        </w:rPr>
      </w:pPr>
      <w:permStart w:id="10" w:edGrp="everyone"/>
      <w:r>
        <w:rPr>
          <w:rFonts w:hint="eastAsia" w:ascii="宋体" w:hAnsi="宋体"/>
          <w:sz w:val="18"/>
          <w:szCs w:val="18"/>
        </w:rPr>
        <w:t>【</w:t>
      </w:r>
      <w:r>
        <w:rPr>
          <w:rFonts w:hint="eastAsia" w:ascii="宋体" w:hAnsi="宋体"/>
          <w:bCs/>
          <w:sz w:val="18"/>
          <w:szCs w:val="18"/>
        </w:rPr>
        <w:t>1、拟投资市场和资产的风险：</w:t>
      </w:r>
    </w:p>
    <w:p>
      <w:pPr>
        <w:pStyle w:val="14"/>
        <w:ind w:firstLine="360"/>
        <w:rPr>
          <w:rFonts w:ascii="宋体" w:hAnsi="宋体"/>
          <w:bCs/>
          <w:sz w:val="18"/>
          <w:szCs w:val="18"/>
        </w:rPr>
      </w:pPr>
      <w:r>
        <w:rPr>
          <w:rFonts w:hint="eastAsia" w:ascii="宋体" w:hAnsi="宋体"/>
          <w:bCs/>
          <w:sz w:val="18"/>
          <w:szCs w:val="18"/>
        </w:rPr>
        <w:t>（1）投资债权类资产的风险</w:t>
      </w:r>
    </w:p>
    <w:p>
      <w:pPr>
        <w:pStyle w:val="14"/>
        <w:ind w:firstLine="360"/>
        <w:rPr>
          <w:rFonts w:ascii="宋体" w:hAnsi="宋体"/>
          <w:bCs/>
          <w:sz w:val="18"/>
          <w:szCs w:val="18"/>
        </w:rPr>
      </w:pPr>
      <w:r>
        <w:rPr>
          <w:rFonts w:hint="eastAsia" w:ascii="宋体" w:hAnsi="宋体"/>
          <w:bCs/>
          <w:sz w:val="18"/>
          <w:szCs w:val="18"/>
        </w:rPr>
        <w:t>1）投资标准化债权类资产的风险</w:t>
      </w:r>
    </w:p>
    <w:p>
      <w:pPr>
        <w:pStyle w:val="14"/>
        <w:ind w:firstLine="360"/>
        <w:rPr>
          <w:rFonts w:ascii="宋体" w:hAnsi="宋体"/>
          <w:bCs/>
          <w:sz w:val="18"/>
          <w:szCs w:val="18"/>
        </w:rPr>
      </w:pPr>
      <w:r>
        <w:rPr>
          <w:rFonts w:hint="eastAsia" w:ascii="宋体" w:hAnsi="宋体"/>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4"/>
        <w:ind w:firstLine="360"/>
        <w:rPr>
          <w:rFonts w:ascii="宋体" w:hAnsi="宋体"/>
          <w:bCs/>
          <w:sz w:val="18"/>
          <w:szCs w:val="18"/>
        </w:rPr>
      </w:pPr>
      <w:r>
        <w:rPr>
          <w:rFonts w:hint="eastAsia" w:ascii="宋体" w:hAnsi="宋体"/>
          <w:bCs/>
          <w:sz w:val="18"/>
          <w:szCs w:val="18"/>
        </w:rPr>
        <w:t xml:space="preserve">（2）投资商品和金融衍生品类资产的风险 </w:t>
      </w:r>
    </w:p>
    <w:p>
      <w:pPr>
        <w:pStyle w:val="14"/>
        <w:ind w:firstLine="360"/>
        <w:rPr>
          <w:rFonts w:ascii="宋体" w:hAnsi="宋体"/>
          <w:bCs/>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ind w:firstLine="446" w:firstLineChars="248"/>
        <w:rPr>
          <w:rFonts w:ascii="宋体" w:hAnsi="宋体"/>
          <w:sz w:val="18"/>
          <w:szCs w:val="18"/>
        </w:rPr>
      </w:pPr>
      <w:r>
        <w:rPr>
          <w:rFonts w:hint="eastAsia" w:ascii="宋体" w:hAnsi="宋体"/>
          <w:sz w:val="18"/>
          <w:szCs w:val="18"/>
        </w:rPr>
        <w:t>】</w:t>
      </w:r>
    </w:p>
    <w:permEnd w:id="10"/>
    <w:p>
      <w:pPr>
        <w:pStyle w:val="14"/>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4"/>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4"/>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4"/>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4"/>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4"/>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4"/>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4"/>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4"/>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4"/>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4"/>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4"/>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4"/>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4"/>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4"/>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4"/>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4"/>
        <w:ind w:firstLineChars="0"/>
        <w:rPr>
          <w:rFonts w:ascii="宋体" w:hAnsi="宋体"/>
          <w:b/>
          <w:bCs/>
          <w:sz w:val="18"/>
          <w:szCs w:val="18"/>
        </w:rPr>
      </w:pPr>
      <w:r>
        <w:rPr>
          <w:rFonts w:hint="eastAsia" w:ascii="宋体" w:hAnsi="宋体"/>
          <w:b/>
          <w:bCs/>
          <w:sz w:val="18"/>
          <w:szCs w:val="18"/>
        </w:rPr>
        <w:t>17.关联交易风险</w:t>
      </w:r>
    </w:p>
    <w:p>
      <w:pPr>
        <w:pStyle w:val="14"/>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五、【非机构投资者适用】</w:t>
      </w:r>
      <w:r>
        <w:rPr>
          <w:rFonts w:hint="eastAsia" w:ascii="宋体" w:hAnsi="宋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8"/>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7</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33954"/>
    <w:rsid w:val="00041A7D"/>
    <w:rsid w:val="0007452F"/>
    <w:rsid w:val="000810B0"/>
    <w:rsid w:val="00096AC8"/>
    <w:rsid w:val="000A244A"/>
    <w:rsid w:val="000B16F1"/>
    <w:rsid w:val="000B357F"/>
    <w:rsid w:val="000C29F2"/>
    <w:rsid w:val="000E2BA1"/>
    <w:rsid w:val="001104E8"/>
    <w:rsid w:val="00152999"/>
    <w:rsid w:val="00165803"/>
    <w:rsid w:val="00184099"/>
    <w:rsid w:val="001973AC"/>
    <w:rsid w:val="001B0D8C"/>
    <w:rsid w:val="00204FA5"/>
    <w:rsid w:val="00226D17"/>
    <w:rsid w:val="0024317D"/>
    <w:rsid w:val="00247D98"/>
    <w:rsid w:val="00262560"/>
    <w:rsid w:val="002B09E6"/>
    <w:rsid w:val="002B63FC"/>
    <w:rsid w:val="002C604E"/>
    <w:rsid w:val="002F0B15"/>
    <w:rsid w:val="002F1555"/>
    <w:rsid w:val="002F3AEA"/>
    <w:rsid w:val="002F7AA4"/>
    <w:rsid w:val="0034386A"/>
    <w:rsid w:val="00346216"/>
    <w:rsid w:val="00346ED2"/>
    <w:rsid w:val="00374070"/>
    <w:rsid w:val="003E1A68"/>
    <w:rsid w:val="003E62FD"/>
    <w:rsid w:val="003F1C32"/>
    <w:rsid w:val="00420545"/>
    <w:rsid w:val="00420D74"/>
    <w:rsid w:val="00425540"/>
    <w:rsid w:val="0044449A"/>
    <w:rsid w:val="004565CB"/>
    <w:rsid w:val="00462EFE"/>
    <w:rsid w:val="00466605"/>
    <w:rsid w:val="00467B46"/>
    <w:rsid w:val="00497CF9"/>
    <w:rsid w:val="004B5DD6"/>
    <w:rsid w:val="004C7F5E"/>
    <w:rsid w:val="004D121D"/>
    <w:rsid w:val="00503054"/>
    <w:rsid w:val="00527A03"/>
    <w:rsid w:val="00534346"/>
    <w:rsid w:val="00563E8F"/>
    <w:rsid w:val="005669E6"/>
    <w:rsid w:val="00585375"/>
    <w:rsid w:val="00587FCA"/>
    <w:rsid w:val="005A63C8"/>
    <w:rsid w:val="005B431F"/>
    <w:rsid w:val="005C1E6C"/>
    <w:rsid w:val="005C6FCB"/>
    <w:rsid w:val="005F48BE"/>
    <w:rsid w:val="0063748B"/>
    <w:rsid w:val="006538E1"/>
    <w:rsid w:val="00685F5B"/>
    <w:rsid w:val="006C7A06"/>
    <w:rsid w:val="006D21BB"/>
    <w:rsid w:val="007303F6"/>
    <w:rsid w:val="00746665"/>
    <w:rsid w:val="00774066"/>
    <w:rsid w:val="00791677"/>
    <w:rsid w:val="007937D4"/>
    <w:rsid w:val="007A2DB5"/>
    <w:rsid w:val="007B017F"/>
    <w:rsid w:val="007C7189"/>
    <w:rsid w:val="007D3800"/>
    <w:rsid w:val="007F16C3"/>
    <w:rsid w:val="007F7774"/>
    <w:rsid w:val="0080662E"/>
    <w:rsid w:val="00811EB0"/>
    <w:rsid w:val="00836C1F"/>
    <w:rsid w:val="00866C85"/>
    <w:rsid w:val="00866F5C"/>
    <w:rsid w:val="00871FCB"/>
    <w:rsid w:val="00892DE4"/>
    <w:rsid w:val="00894EE6"/>
    <w:rsid w:val="008A707D"/>
    <w:rsid w:val="008D3E86"/>
    <w:rsid w:val="008D6733"/>
    <w:rsid w:val="008F2B54"/>
    <w:rsid w:val="00904F53"/>
    <w:rsid w:val="00955293"/>
    <w:rsid w:val="0096566F"/>
    <w:rsid w:val="00981E5B"/>
    <w:rsid w:val="00A00AF5"/>
    <w:rsid w:val="00A1690B"/>
    <w:rsid w:val="00A2641D"/>
    <w:rsid w:val="00A32EC2"/>
    <w:rsid w:val="00A83DE9"/>
    <w:rsid w:val="00A95D0C"/>
    <w:rsid w:val="00AA0410"/>
    <w:rsid w:val="00AB1E9D"/>
    <w:rsid w:val="00AD678C"/>
    <w:rsid w:val="00AE5AA3"/>
    <w:rsid w:val="00B03943"/>
    <w:rsid w:val="00B06267"/>
    <w:rsid w:val="00B07DEF"/>
    <w:rsid w:val="00B35D81"/>
    <w:rsid w:val="00B3723D"/>
    <w:rsid w:val="00B50A61"/>
    <w:rsid w:val="00B53F51"/>
    <w:rsid w:val="00B744AE"/>
    <w:rsid w:val="00BA32B7"/>
    <w:rsid w:val="00BB513F"/>
    <w:rsid w:val="00BC1259"/>
    <w:rsid w:val="00BC398E"/>
    <w:rsid w:val="00BD22F1"/>
    <w:rsid w:val="00BE1A3A"/>
    <w:rsid w:val="00BE7FAA"/>
    <w:rsid w:val="00BF6030"/>
    <w:rsid w:val="00C01696"/>
    <w:rsid w:val="00C277A9"/>
    <w:rsid w:val="00C4233D"/>
    <w:rsid w:val="00C7544B"/>
    <w:rsid w:val="00CA6ADC"/>
    <w:rsid w:val="00CC4F45"/>
    <w:rsid w:val="00D03CCD"/>
    <w:rsid w:val="00D12543"/>
    <w:rsid w:val="00D46533"/>
    <w:rsid w:val="00D83BD5"/>
    <w:rsid w:val="00D91389"/>
    <w:rsid w:val="00DA2C69"/>
    <w:rsid w:val="00DB75DB"/>
    <w:rsid w:val="00DC5611"/>
    <w:rsid w:val="00DD246D"/>
    <w:rsid w:val="00DD5ABC"/>
    <w:rsid w:val="00E27306"/>
    <w:rsid w:val="00E32DA9"/>
    <w:rsid w:val="00E504DE"/>
    <w:rsid w:val="00E80603"/>
    <w:rsid w:val="00E9180D"/>
    <w:rsid w:val="00EB34F9"/>
    <w:rsid w:val="00EE0296"/>
    <w:rsid w:val="00F2208D"/>
    <w:rsid w:val="00F34E57"/>
    <w:rsid w:val="00F57B20"/>
    <w:rsid w:val="00F631D9"/>
    <w:rsid w:val="00F8077D"/>
    <w:rsid w:val="00F855B5"/>
    <w:rsid w:val="00FF30BA"/>
    <w:rsid w:val="00FF75B3"/>
    <w:rsid w:val="01540E14"/>
    <w:rsid w:val="093C4710"/>
    <w:rsid w:val="0D497B56"/>
    <w:rsid w:val="1472778E"/>
    <w:rsid w:val="17992DFC"/>
    <w:rsid w:val="23024B39"/>
    <w:rsid w:val="3F6C31D5"/>
    <w:rsid w:val="4EEE53D9"/>
    <w:rsid w:val="601969DF"/>
    <w:rsid w:val="655B054D"/>
    <w:rsid w:val="659C2FA3"/>
    <w:rsid w:val="75E6714C"/>
    <w:rsid w:val="7EA56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styleId="11">
    <w:name w:val="annotation reference"/>
    <w:basedOn w:val="9"/>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paragraph" w:styleId="14">
    <w:name w:val="List Paragraph"/>
    <w:basedOn w:val="1"/>
    <w:qFormat/>
    <w:uiPriority w:val="0"/>
    <w:pPr>
      <w:ind w:firstLine="420" w:firstLineChars="200"/>
    </w:pPr>
  </w:style>
  <w:style w:type="character" w:customStyle="1" w:styleId="15">
    <w:name w:val="批注文字 Char"/>
    <w:basedOn w:val="9"/>
    <w:link w:val="2"/>
    <w:qFormat/>
    <w:uiPriority w:val="99"/>
    <w:rPr>
      <w:rFonts w:ascii="Calibri" w:hAnsi="Calibri" w:eastAsia="宋体" w:cs="宋体"/>
    </w:rPr>
  </w:style>
  <w:style w:type="character" w:customStyle="1" w:styleId="16">
    <w:name w:val="批注主题 Char"/>
    <w:basedOn w:val="15"/>
    <w:link w:val="6"/>
    <w:semiHidden/>
    <w:qFormat/>
    <w:uiPriority w:val="99"/>
    <w:rPr>
      <w:rFonts w:ascii="Calibri" w:hAnsi="Calibri" w:eastAsia="宋体" w:cs="宋体"/>
      <w:b/>
      <w:bCs/>
    </w:rPr>
  </w:style>
  <w:style w:type="character" w:customStyle="1" w:styleId="17">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7</Pages>
  <Words>824</Words>
  <Characters>4701</Characters>
  <Lines>39</Lines>
  <Paragraphs>11</Paragraphs>
  <TotalTime>26</TotalTime>
  <ScaleCrop>false</ScaleCrop>
  <LinksUpToDate>false</LinksUpToDate>
  <CharactersWithSpaces>5514</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2023-10-31T13:04:00Z</dcterms:created>
  <dc:creator>胡骁潇</dc:creator>
  <cp:lastModifiedBy>cib</cp:lastModifiedBy>
  <dcterms:modified xsi:type="dcterms:W3CDTF">2024-03-20T09:37:19Z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