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bookmarkStart w:id="1" w:name="_GoBack"/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【稳利安盈封闭式】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</w:t>
      </w:r>
      <w:r>
        <w:rPr>
          <w:rFonts w:hint="eastAsia" w:ascii="宋体" w:hAnsi="宋体"/>
          <w:sz w:val="18"/>
          <w:szCs w:val="18"/>
        </w:rPr>
        <w:t>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7"/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【稳利安盈封闭式】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4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15"/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16" w:edGrp="everyone"/>
      <w:r>
        <w:rPr>
          <w:rStyle w:val="11"/>
          <w:rFonts w:hint="eastAsia" w:ascii="黑体" w:hAnsi="黑体" w:eastAsia="黑体"/>
          <w:sz w:val="28"/>
          <w:szCs w:val="28"/>
        </w:rPr>
        <w:t>【稳利安盈封闭式】</w:t>
      </w:r>
      <w:permEnd w:id="16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7" w:edGrp="everyone"/>
      <w:r>
        <w:rPr>
          <w:rFonts w:hint="eastAsia" w:ascii="宋体" w:hAnsi="宋体"/>
          <w:sz w:val="18"/>
          <w:szCs w:val="18"/>
        </w:rPr>
        <w:t>【】</w:t>
      </w:r>
      <w:permEnd w:id="17"/>
      <w:r>
        <w:rPr>
          <w:rFonts w:hint="eastAsia" w:ascii="宋体" w:hAnsi="宋体"/>
          <w:sz w:val="18"/>
          <w:szCs w:val="18"/>
        </w:rPr>
        <w:t>以(</w:t>
      </w:r>
      <w:permStart w:id="18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8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9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19"/>
    </w:p>
    <w:bookmarkEnd w:id="1"/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4964"/>
    <w:rsid w:val="005D158B"/>
    <w:rsid w:val="005E4F9A"/>
    <w:rsid w:val="00622E88"/>
    <w:rsid w:val="00641888"/>
    <w:rsid w:val="006639A1"/>
    <w:rsid w:val="006B237F"/>
    <w:rsid w:val="006D2908"/>
    <w:rsid w:val="006E4016"/>
    <w:rsid w:val="006F100F"/>
    <w:rsid w:val="006F676E"/>
    <w:rsid w:val="006F690F"/>
    <w:rsid w:val="00710B52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48006C19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695</Words>
  <Characters>3967</Characters>
  <Lines>33</Lines>
  <Paragraphs>9</Paragraphs>
  <TotalTime>1</TotalTime>
  <ScaleCrop>false</ScaleCrop>
  <LinksUpToDate>false</LinksUpToDate>
  <CharactersWithSpaces>4653</CharactersWithSpaces>
  <Application>WPS Office_11.8.2.10164_F1E327BC-269C-435d-A152-05C5408002CA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2023-11-06T01:28:00Z</dcterms:created>
  <dc:creator>胡骁潇</dc:creator>
  <cp:lastModifiedBy>Administrator</cp:lastModifiedBy>
  <dcterms:modified xsi:type="dcterms:W3CDTF">2024-09-11T01:43:16Z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2052-11.8.2.10164</vt:lpwstr>
  </property>
  <property fmtid="{D5CDD505-2E9C-101B-9397-08002B2CF9AE}" pid="3" name="ICV">
    <vt:lpwstr>9873E9C24C094D1B8CECDA42AF5A7960</vt:lpwstr>
  </property>
</Properties>
</file>